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3AFEF8A" w14:textId="24A8CE56" w:rsidR="00A739B9" w:rsidRDefault="005F4667" w:rsidP="001E6AEA">
      <w:pPr>
        <w:pStyle w:val="1Sectiontitles"/>
      </w:pPr>
      <w:r>
        <w:t>R</w:t>
      </w:r>
      <w:r w:rsidR="00A739B9" w:rsidRPr="0051671D">
        <w:t xml:space="preserve">enewable </w:t>
      </w:r>
      <w:r w:rsidR="006D2E0F">
        <w:t xml:space="preserve">wind </w:t>
      </w:r>
      <w:r w:rsidR="00A739B9">
        <w:t>e</w:t>
      </w:r>
      <w:r w:rsidR="00A739B9" w:rsidRPr="0051671D">
        <w:t>nergy</w:t>
      </w:r>
    </w:p>
    <w:p w14:paraId="32D43893" w14:textId="656D458F" w:rsidR="0050333C" w:rsidRPr="006D2E0F" w:rsidRDefault="0050333C" w:rsidP="006D2E0F">
      <w:pPr>
        <w:spacing w:after="170" w:line="340" w:lineRule="exact"/>
        <w:rPr>
          <w:rFonts w:ascii="Georgia" w:hAnsi="Georgia"/>
          <w:sz w:val="22"/>
          <w:szCs w:val="22"/>
        </w:rPr>
      </w:pPr>
    </w:p>
    <w:p w14:paraId="1ED38900" w14:textId="6FD95C2F" w:rsidR="00F3328E" w:rsidRPr="006D2E0F" w:rsidRDefault="00F3328E" w:rsidP="006D2E0F">
      <w:pPr>
        <w:spacing w:after="170" w:line="340" w:lineRule="exact"/>
        <w:rPr>
          <w:rFonts w:ascii="Georgia" w:hAnsi="Georgia"/>
          <w:b/>
          <w:bCs/>
          <w:sz w:val="22"/>
          <w:szCs w:val="22"/>
        </w:rPr>
      </w:pPr>
      <w:r w:rsidRPr="006D2E0F">
        <w:rPr>
          <w:rFonts w:ascii="Georgia" w:hAnsi="Georgia"/>
          <w:b/>
          <w:bCs/>
          <w:sz w:val="22"/>
          <w:szCs w:val="22"/>
          <w:lang w:val="en-GB"/>
        </w:rPr>
        <w:t>Table of contents</w:t>
      </w:r>
    </w:p>
    <w:p w14:paraId="7635E02B" w14:textId="1A2106DD" w:rsidR="00F3328E" w:rsidRPr="006D2E0F" w:rsidRDefault="00F3328E" w:rsidP="006D2E0F">
      <w:pPr>
        <w:pStyle w:val="Listenabsatz"/>
        <w:numPr>
          <w:ilvl w:val="0"/>
          <w:numId w:val="33"/>
        </w:numPr>
        <w:spacing w:after="170" w:line="340" w:lineRule="exact"/>
        <w:rPr>
          <w:rFonts w:ascii="Georgia" w:hAnsi="Georgia"/>
          <w:sz w:val="22"/>
          <w:szCs w:val="22"/>
        </w:rPr>
      </w:pPr>
      <w:r w:rsidRPr="006D2E0F">
        <w:rPr>
          <w:rFonts w:ascii="Georgia" w:hAnsi="Georgia"/>
          <w:sz w:val="22"/>
          <w:szCs w:val="22"/>
          <w:lang w:val="en-GB"/>
        </w:rPr>
        <w:t>Introduction</w:t>
      </w:r>
    </w:p>
    <w:p w14:paraId="767E2DA6" w14:textId="66FCC2BD" w:rsidR="00F3328E" w:rsidRPr="006D2E0F" w:rsidRDefault="00F3328E" w:rsidP="006D2E0F">
      <w:pPr>
        <w:pStyle w:val="Listenabsatz"/>
        <w:numPr>
          <w:ilvl w:val="0"/>
          <w:numId w:val="33"/>
        </w:numPr>
        <w:spacing w:after="170" w:line="340" w:lineRule="exact"/>
        <w:rPr>
          <w:rFonts w:ascii="Georgia" w:hAnsi="Georgia"/>
          <w:sz w:val="22"/>
          <w:szCs w:val="22"/>
        </w:rPr>
      </w:pPr>
      <w:r w:rsidRPr="006D2E0F">
        <w:rPr>
          <w:rFonts w:ascii="Georgia" w:hAnsi="Georgia"/>
          <w:sz w:val="22"/>
          <w:szCs w:val="22"/>
          <w:lang w:val="en-GB"/>
        </w:rPr>
        <w:t>Policy and Regulations regional level (MSFD/OSPAR</w:t>
      </w:r>
      <w:r w:rsidR="00DE7678" w:rsidRPr="006D2E0F">
        <w:rPr>
          <w:rFonts w:ascii="Georgia" w:hAnsi="Georgia"/>
          <w:sz w:val="22"/>
          <w:szCs w:val="22"/>
          <w:lang w:val="en-GB"/>
        </w:rPr>
        <w:t>/TWSC</w:t>
      </w:r>
      <w:r w:rsidRPr="006D2E0F">
        <w:rPr>
          <w:rFonts w:ascii="Georgia" w:hAnsi="Georgia"/>
          <w:sz w:val="22"/>
          <w:szCs w:val="22"/>
          <w:lang w:val="en-GB"/>
        </w:rPr>
        <w:t>)</w:t>
      </w:r>
    </w:p>
    <w:p w14:paraId="1FBE47E9" w14:textId="627AE507" w:rsidR="00F3328E" w:rsidRPr="006D2E0F" w:rsidRDefault="00F3328E" w:rsidP="006D2E0F">
      <w:pPr>
        <w:pStyle w:val="Listenabsatz"/>
        <w:numPr>
          <w:ilvl w:val="0"/>
          <w:numId w:val="33"/>
        </w:numPr>
        <w:spacing w:after="170" w:line="340" w:lineRule="exact"/>
        <w:rPr>
          <w:rFonts w:ascii="Georgia" w:hAnsi="Georgia"/>
          <w:sz w:val="22"/>
          <w:szCs w:val="22"/>
        </w:rPr>
      </w:pPr>
      <w:r w:rsidRPr="006D2E0F">
        <w:rPr>
          <w:rFonts w:ascii="Georgia" w:hAnsi="Georgia"/>
          <w:sz w:val="22"/>
          <w:szCs w:val="22"/>
          <w:lang w:val="en-GB"/>
        </w:rPr>
        <w:t>Policy in the three states/Länder (federal level, federal state level)</w:t>
      </w:r>
    </w:p>
    <w:p w14:paraId="5D25751B" w14:textId="0A3B7686" w:rsidR="00F3328E" w:rsidRPr="006D2E0F" w:rsidRDefault="00F3328E" w:rsidP="006D2E0F">
      <w:pPr>
        <w:pStyle w:val="Listenabsatz"/>
        <w:numPr>
          <w:ilvl w:val="0"/>
          <w:numId w:val="33"/>
        </w:numPr>
        <w:spacing w:after="170" w:line="340" w:lineRule="exact"/>
        <w:rPr>
          <w:rFonts w:ascii="Georgia" w:hAnsi="Georgia"/>
          <w:sz w:val="22"/>
          <w:szCs w:val="22"/>
        </w:rPr>
      </w:pPr>
      <w:r w:rsidRPr="006D2E0F">
        <w:rPr>
          <w:rFonts w:ascii="Georgia" w:hAnsi="Georgia"/>
          <w:sz w:val="22"/>
          <w:szCs w:val="22"/>
          <w:lang w:val="en-GB"/>
        </w:rPr>
        <w:t>Spatial Planning (EEZ/Coastal waters)</w:t>
      </w:r>
    </w:p>
    <w:p w14:paraId="29A6CC2D" w14:textId="7732D718" w:rsidR="00F3328E" w:rsidRPr="006D2E0F" w:rsidRDefault="00F3328E" w:rsidP="006D2E0F">
      <w:pPr>
        <w:pStyle w:val="Listenabsatz"/>
        <w:numPr>
          <w:ilvl w:val="0"/>
          <w:numId w:val="33"/>
        </w:numPr>
        <w:spacing w:after="170" w:line="340" w:lineRule="exact"/>
        <w:rPr>
          <w:rFonts w:ascii="Georgia" w:hAnsi="Georgia"/>
          <w:sz w:val="22"/>
          <w:szCs w:val="22"/>
        </w:rPr>
      </w:pPr>
      <w:r w:rsidRPr="006D2E0F">
        <w:rPr>
          <w:rFonts w:ascii="Georgia" w:hAnsi="Georgia"/>
          <w:sz w:val="22"/>
          <w:szCs w:val="22"/>
          <w:lang w:val="en-GB"/>
        </w:rPr>
        <w:t xml:space="preserve">Legislation (Laws, permission procedures) </w:t>
      </w:r>
    </w:p>
    <w:p w14:paraId="5293401C" w14:textId="77777777" w:rsidR="006D2E0F" w:rsidRPr="006D2E0F" w:rsidRDefault="006D2E0F" w:rsidP="006D2E0F">
      <w:pPr>
        <w:spacing w:after="170" w:line="340" w:lineRule="exact"/>
        <w:rPr>
          <w:rFonts w:ascii="Georgia" w:hAnsi="Georgia"/>
          <w:sz w:val="22"/>
          <w:szCs w:val="22"/>
          <w:lang w:val="en-GB"/>
        </w:rPr>
      </w:pPr>
    </w:p>
    <w:p w14:paraId="24A03E78" w14:textId="77777777" w:rsidR="006D2E0F" w:rsidRPr="006D2E0F" w:rsidRDefault="006D2E0F" w:rsidP="006D2E0F">
      <w:pPr>
        <w:spacing w:after="170" w:line="340" w:lineRule="exact"/>
        <w:rPr>
          <w:rFonts w:ascii="Georgia" w:hAnsi="Georgia"/>
          <w:color w:val="808080" w:themeColor="background1" w:themeShade="80"/>
          <w:lang w:val="en-GB"/>
        </w:rPr>
      </w:pPr>
      <w:r w:rsidRPr="006D2E0F">
        <w:rPr>
          <w:rFonts w:ascii="Georgia" w:hAnsi="Georgia"/>
          <w:color w:val="808080" w:themeColor="background1" w:themeShade="80"/>
          <w:lang w:val="en-GB"/>
        </w:rPr>
        <w:t>[Note:</w:t>
      </w:r>
    </w:p>
    <w:p w14:paraId="2D8C1601" w14:textId="45734153" w:rsidR="006D2E0F" w:rsidRPr="006D2E0F" w:rsidRDefault="006D2E0F" w:rsidP="006D2E0F">
      <w:pPr>
        <w:spacing w:after="170" w:line="340" w:lineRule="exact"/>
        <w:rPr>
          <w:rFonts w:ascii="Georgia" w:hAnsi="Georgia"/>
          <w:color w:val="808080" w:themeColor="background1" w:themeShade="80"/>
          <w:lang w:val="en-GB"/>
        </w:rPr>
      </w:pPr>
      <w:r w:rsidRPr="006D2E0F">
        <w:rPr>
          <w:rFonts w:ascii="Georgia" w:hAnsi="Georgia"/>
          <w:color w:val="808080" w:themeColor="background1" w:themeShade="80"/>
          <w:lang w:val="en-GB"/>
        </w:rPr>
        <w:t>In the future also:</w:t>
      </w:r>
    </w:p>
    <w:p w14:paraId="7C1738F1" w14:textId="6DC8059C" w:rsidR="00F3328E" w:rsidRPr="006D2E0F" w:rsidRDefault="00F3328E" w:rsidP="006D2E0F">
      <w:pPr>
        <w:spacing w:after="170" w:line="340" w:lineRule="exact"/>
        <w:rPr>
          <w:rFonts w:ascii="Georgia" w:hAnsi="Georgia"/>
          <w:color w:val="808080" w:themeColor="background1" w:themeShade="80"/>
        </w:rPr>
      </w:pPr>
      <w:r w:rsidRPr="006D2E0F">
        <w:rPr>
          <w:rFonts w:ascii="Georgia" w:hAnsi="Georgia"/>
          <w:color w:val="808080" w:themeColor="background1" w:themeShade="80"/>
          <w:lang w:val="en-GB"/>
        </w:rPr>
        <w:t>Status quo on- and offshore</w:t>
      </w:r>
    </w:p>
    <w:p w14:paraId="5343B29E" w14:textId="644D550D" w:rsidR="00AD79C0" w:rsidRPr="006D2E0F" w:rsidRDefault="00AD79C0" w:rsidP="006D2E0F">
      <w:pPr>
        <w:spacing w:after="170" w:line="340" w:lineRule="exact"/>
        <w:rPr>
          <w:rFonts w:ascii="Georgia" w:hAnsi="Georgia"/>
          <w:color w:val="808080" w:themeColor="background1" w:themeShade="80"/>
        </w:rPr>
      </w:pPr>
      <w:r w:rsidRPr="006D2E0F">
        <w:rPr>
          <w:rFonts w:ascii="Georgia" w:hAnsi="Georgia"/>
          <w:color w:val="808080" w:themeColor="background1" w:themeShade="80"/>
        </w:rPr>
        <w:t>Impacts</w:t>
      </w:r>
    </w:p>
    <w:p w14:paraId="4C52DF77" w14:textId="4E48A28C" w:rsidR="00F3328E" w:rsidRPr="006D2E0F" w:rsidRDefault="00F3328E" w:rsidP="006D2E0F">
      <w:pPr>
        <w:spacing w:after="170" w:line="340" w:lineRule="exact"/>
        <w:rPr>
          <w:rFonts w:ascii="Georgia" w:hAnsi="Georgia"/>
          <w:color w:val="808080" w:themeColor="background1" w:themeShade="80"/>
        </w:rPr>
      </w:pPr>
      <w:r w:rsidRPr="006D2E0F">
        <w:rPr>
          <w:rFonts w:ascii="Georgia" w:hAnsi="Georgia"/>
          <w:color w:val="808080" w:themeColor="background1" w:themeShade="80"/>
          <w:lang w:val="en-GB"/>
        </w:rPr>
        <w:t>Effects of Wind energy on the property</w:t>
      </w:r>
    </w:p>
    <w:p w14:paraId="06E52FEA" w14:textId="5CD15047" w:rsidR="00F3328E" w:rsidRPr="006D2E0F" w:rsidRDefault="00F3328E" w:rsidP="006D2E0F">
      <w:pPr>
        <w:spacing w:after="170" w:line="340" w:lineRule="exact"/>
        <w:rPr>
          <w:rFonts w:ascii="Georgia" w:hAnsi="Georgia"/>
          <w:color w:val="808080" w:themeColor="background1" w:themeShade="80"/>
          <w:lang w:val="en-GB"/>
        </w:rPr>
      </w:pPr>
      <w:r w:rsidRPr="006D2E0F">
        <w:rPr>
          <w:rFonts w:ascii="Georgia" w:hAnsi="Georgia"/>
          <w:color w:val="808080" w:themeColor="background1" w:themeShade="80"/>
          <w:lang w:val="en-GB"/>
        </w:rPr>
        <w:t>Offshore: Construction phase OWF</w:t>
      </w:r>
      <w:r w:rsidR="00735AF8" w:rsidRPr="006D2E0F">
        <w:rPr>
          <w:rFonts w:ascii="Georgia" w:hAnsi="Georgia"/>
          <w:color w:val="808080" w:themeColor="background1" w:themeShade="80"/>
          <w:lang w:val="en-GB"/>
        </w:rPr>
        <w:t xml:space="preserve"> </w:t>
      </w:r>
      <w:r w:rsidRPr="006D2E0F">
        <w:rPr>
          <w:rFonts w:ascii="Georgia" w:hAnsi="Georgia"/>
          <w:color w:val="808080" w:themeColor="background1" w:themeShade="80"/>
          <w:lang w:val="en-GB"/>
        </w:rPr>
        <w:t xml:space="preserve">(pile driving/Marine mammals); operational phase, maintenance (ship traffic); construction phase cables, maintenance </w:t>
      </w:r>
    </w:p>
    <w:p w14:paraId="5390A9FA" w14:textId="66A64F66" w:rsidR="00F3328E" w:rsidRPr="006D2E0F" w:rsidRDefault="005C2D68" w:rsidP="006D2E0F">
      <w:pPr>
        <w:spacing w:after="170" w:line="340" w:lineRule="exact"/>
        <w:rPr>
          <w:rFonts w:ascii="Georgia" w:hAnsi="Georgia"/>
          <w:color w:val="808080" w:themeColor="background1" w:themeShade="80"/>
        </w:rPr>
      </w:pPr>
      <w:r w:rsidRPr="006D2E0F">
        <w:rPr>
          <w:rFonts w:ascii="Georgia" w:hAnsi="Georgia"/>
          <w:color w:val="808080" w:themeColor="background1" w:themeShade="80"/>
          <w:lang w:val="en-GB"/>
        </w:rPr>
        <w:t>Onshore</w:t>
      </w:r>
      <w:r w:rsidR="00F3328E" w:rsidRPr="006D2E0F">
        <w:rPr>
          <w:rFonts w:ascii="Georgia" w:hAnsi="Georgia"/>
          <w:color w:val="808080" w:themeColor="background1" w:themeShade="80"/>
          <w:lang w:val="en-GB"/>
        </w:rPr>
        <w:t>: operational phase</w:t>
      </w:r>
    </w:p>
    <w:p w14:paraId="149C37B4" w14:textId="7FE31395" w:rsidR="00F3328E" w:rsidRPr="006D2E0F" w:rsidRDefault="0057781A" w:rsidP="006D2E0F">
      <w:pPr>
        <w:spacing w:after="170" w:line="340" w:lineRule="exact"/>
        <w:rPr>
          <w:rFonts w:ascii="Georgia" w:hAnsi="Georgia"/>
          <w:color w:val="808080" w:themeColor="background1" w:themeShade="80"/>
        </w:rPr>
      </w:pPr>
      <w:r w:rsidRPr="006D2E0F">
        <w:rPr>
          <w:rFonts w:ascii="Georgia" w:hAnsi="Georgia"/>
          <w:color w:val="808080" w:themeColor="background1" w:themeShade="80"/>
          <w:lang w:val="en-GB"/>
        </w:rPr>
        <w:t>Conclusion: common ground and possible further steps</w:t>
      </w:r>
      <w:r w:rsidR="006D2E0F" w:rsidRPr="006D2E0F">
        <w:rPr>
          <w:rFonts w:ascii="Georgia" w:hAnsi="Georgia"/>
          <w:color w:val="808080" w:themeColor="background1" w:themeShade="80"/>
          <w:lang w:val="en-GB"/>
        </w:rPr>
        <w:t>]</w:t>
      </w:r>
    </w:p>
    <w:p w14:paraId="267C2D11" w14:textId="77777777" w:rsidR="00F3328E" w:rsidRDefault="00F3328E" w:rsidP="00C813CE"/>
    <w:p w14:paraId="45921906" w14:textId="77777777" w:rsidR="00F3328E" w:rsidRDefault="00F3328E" w:rsidP="00C813CE"/>
    <w:p w14:paraId="147E02A5" w14:textId="2E725042" w:rsidR="00F3328E" w:rsidRPr="00B160F9" w:rsidRDefault="00F3328E" w:rsidP="001E6AEA">
      <w:pPr>
        <w:pStyle w:val="2sub-sections"/>
        <w:numPr>
          <w:ilvl w:val="0"/>
          <w:numId w:val="24"/>
        </w:numPr>
        <w:ind w:left="0" w:firstLine="0"/>
      </w:pPr>
      <w:r w:rsidRPr="001E6AEA">
        <w:t>Introduction</w:t>
      </w:r>
    </w:p>
    <w:p w14:paraId="69B92749" w14:textId="77777777" w:rsidR="00F3328E" w:rsidRDefault="00F3328E" w:rsidP="00C813CE"/>
    <w:p w14:paraId="56DF9177" w14:textId="0374DC22" w:rsidR="0050333C" w:rsidRPr="001E6AEA" w:rsidRDefault="0050333C" w:rsidP="001E6AEA">
      <w:pPr>
        <w:pStyle w:val="4bodytext"/>
        <w:rPr>
          <w:rFonts w:cs="HouschkaAltPro-Medium"/>
          <w:lang w:val="en-GB"/>
        </w:rPr>
      </w:pPr>
      <w:r w:rsidRPr="001E6AEA">
        <w:rPr>
          <w:rFonts w:cs="HouschkaAltPro-Medium"/>
          <w:lang w:val="en-GB"/>
        </w:rPr>
        <w:t>Playing a crucial role in combating climate change, renewable energies do already and will even more contribute to the reduction of CO2-emissions</w:t>
      </w:r>
      <w:r w:rsidR="00447AAF" w:rsidRPr="001E6AEA">
        <w:rPr>
          <w:rFonts w:cs="HouschkaAltPro-Medium"/>
          <w:lang w:val="en-GB"/>
        </w:rPr>
        <w:t xml:space="preserve"> in the upcoming years</w:t>
      </w:r>
      <w:r w:rsidRPr="001E6AEA">
        <w:rPr>
          <w:rFonts w:cs="HouschkaAltPro-Medium"/>
          <w:lang w:val="en-GB"/>
        </w:rPr>
        <w:t xml:space="preserve">. While </w:t>
      </w:r>
      <w:r w:rsidR="005C2D68" w:rsidRPr="001E6AEA">
        <w:rPr>
          <w:rFonts w:cs="HouschkaAltPro-Medium"/>
          <w:lang w:val="en-GB"/>
        </w:rPr>
        <w:t>it</w:t>
      </w:r>
      <w:r w:rsidRPr="001E6AEA">
        <w:rPr>
          <w:rFonts w:cs="HouschkaAltPro-Medium"/>
          <w:lang w:val="en-GB"/>
        </w:rPr>
        <w:t xml:space="preserve"> is </w:t>
      </w:r>
      <w:r w:rsidR="00C30120" w:rsidRPr="001E6AEA">
        <w:rPr>
          <w:rFonts w:cs="HouschkaAltPro-Medium"/>
          <w:lang w:val="en-GB"/>
        </w:rPr>
        <w:t xml:space="preserve">undeniably </w:t>
      </w:r>
      <w:r w:rsidR="005C2D68" w:rsidRPr="001E6AEA">
        <w:rPr>
          <w:rFonts w:cs="HouschkaAltPro-Medium"/>
          <w:lang w:val="en-GB"/>
        </w:rPr>
        <w:t>the case</w:t>
      </w:r>
      <w:r w:rsidRPr="001E6AEA">
        <w:rPr>
          <w:rFonts w:cs="HouschkaAltPro-Medium"/>
          <w:lang w:val="en-GB"/>
        </w:rPr>
        <w:t xml:space="preserve">, that less emissions </w:t>
      </w:r>
      <w:r w:rsidR="005C2D68" w:rsidRPr="001E6AEA">
        <w:rPr>
          <w:rFonts w:cs="HouschkaAltPro-Medium"/>
          <w:lang w:val="en-GB"/>
        </w:rPr>
        <w:t>caused by</w:t>
      </w:r>
      <w:r w:rsidRPr="001E6AEA">
        <w:rPr>
          <w:rFonts w:cs="HouschkaAltPro-Medium"/>
          <w:lang w:val="en-GB"/>
        </w:rPr>
        <w:t xml:space="preserve"> the combustion of fossil fuels will have a positive effect</w:t>
      </w:r>
      <w:r w:rsidR="00F3328E" w:rsidRPr="001E6AEA">
        <w:rPr>
          <w:rFonts w:cs="HouschkaAltPro-Medium"/>
          <w:lang w:val="en-GB"/>
        </w:rPr>
        <w:t xml:space="preserve"> for the environment</w:t>
      </w:r>
      <w:r w:rsidRPr="001E6AEA">
        <w:rPr>
          <w:rFonts w:cs="HouschkaAltPro-Medium"/>
          <w:lang w:val="en-GB"/>
        </w:rPr>
        <w:t xml:space="preserve">, it shall not be neglected that there are also </w:t>
      </w:r>
      <w:r w:rsidR="004B5646">
        <w:rPr>
          <w:rFonts w:cs="HouschkaAltPro-Medium"/>
          <w:lang w:val="en-GB"/>
        </w:rPr>
        <w:t>impacts</w:t>
      </w:r>
      <w:r w:rsidRPr="001E6AEA">
        <w:rPr>
          <w:rFonts w:cs="HouschkaAltPro-Medium"/>
          <w:lang w:val="en-GB"/>
        </w:rPr>
        <w:t xml:space="preserve"> detrimental </w:t>
      </w:r>
      <w:r w:rsidR="00F3328E" w:rsidRPr="001E6AEA">
        <w:rPr>
          <w:rFonts w:cs="HouschkaAltPro-Medium"/>
          <w:lang w:val="en-GB"/>
        </w:rPr>
        <w:t xml:space="preserve">to habitats and species. </w:t>
      </w:r>
    </w:p>
    <w:p w14:paraId="72C30AE2" w14:textId="3FA9A4C9" w:rsidR="00F3328E" w:rsidRPr="001E6AEA" w:rsidRDefault="00F3328E" w:rsidP="001E6AEA">
      <w:pPr>
        <w:pStyle w:val="4bodytext"/>
        <w:rPr>
          <w:rFonts w:cs="HouschkaAltPro-Medium"/>
          <w:lang w:val="en-GB"/>
        </w:rPr>
      </w:pPr>
      <w:r w:rsidRPr="001E6AEA">
        <w:rPr>
          <w:rFonts w:cs="HouschkaAltPro-Medium"/>
          <w:lang w:val="en-GB"/>
        </w:rPr>
        <w:lastRenderedPageBreak/>
        <w:t>This inventory</w:t>
      </w:r>
      <w:r w:rsidR="005C2D68" w:rsidRPr="001E6AEA">
        <w:rPr>
          <w:rFonts w:cs="HouschkaAltPro-Medium"/>
          <w:lang w:val="en-GB"/>
        </w:rPr>
        <w:t xml:space="preserve"> gives an overv</w:t>
      </w:r>
      <w:r w:rsidR="00C30120" w:rsidRPr="001E6AEA">
        <w:rPr>
          <w:rFonts w:cs="HouschkaAltPro-Medium"/>
          <w:lang w:val="en-GB"/>
        </w:rPr>
        <w:t>iew of the current situation in Denmark, Germany (focusing on the Länder</w:t>
      </w:r>
      <w:r w:rsidR="005C2D68" w:rsidRPr="001E6AEA">
        <w:rPr>
          <w:rFonts w:cs="HouschkaAltPro-Medium"/>
          <w:lang w:val="en-GB"/>
        </w:rPr>
        <w:t xml:space="preserve"> Schleswig-Holstein and Lower Saxony</w:t>
      </w:r>
      <w:r w:rsidR="00C30120" w:rsidRPr="001E6AEA">
        <w:rPr>
          <w:rFonts w:cs="HouschkaAltPro-Medium"/>
          <w:lang w:val="en-GB"/>
        </w:rPr>
        <w:t>) and the Netherlands</w:t>
      </w:r>
      <w:r w:rsidR="004F1894" w:rsidRPr="001E6AEA">
        <w:rPr>
          <w:rFonts w:cs="HouschkaAltPro-Medium"/>
          <w:lang w:val="en-GB"/>
        </w:rPr>
        <w:t xml:space="preserve"> in so far as it concerns the Wadden Sea W</w:t>
      </w:r>
      <w:r w:rsidR="004B5646">
        <w:rPr>
          <w:rFonts w:cs="HouschkaAltPro-Medium"/>
          <w:lang w:val="en-GB"/>
        </w:rPr>
        <w:t xml:space="preserve">orld </w:t>
      </w:r>
      <w:r w:rsidR="004F1894" w:rsidRPr="001E6AEA">
        <w:rPr>
          <w:rFonts w:cs="HouschkaAltPro-Medium"/>
          <w:lang w:val="en-GB"/>
        </w:rPr>
        <w:t>H</w:t>
      </w:r>
      <w:r w:rsidR="004B5646">
        <w:rPr>
          <w:rFonts w:cs="HouschkaAltPro-Medium"/>
          <w:lang w:val="en-GB"/>
        </w:rPr>
        <w:t>eritage</w:t>
      </w:r>
      <w:r w:rsidR="004F1894" w:rsidRPr="001E6AEA">
        <w:rPr>
          <w:rFonts w:cs="HouschkaAltPro-Medium"/>
          <w:lang w:val="en-GB"/>
        </w:rPr>
        <w:t xml:space="preserve">. </w:t>
      </w:r>
    </w:p>
    <w:p w14:paraId="0F429F96" w14:textId="62A63CCA" w:rsidR="004F46FF" w:rsidRPr="001E6AEA" w:rsidRDefault="004F46FF" w:rsidP="001E6AEA">
      <w:pPr>
        <w:pStyle w:val="4bodytext"/>
        <w:rPr>
          <w:rFonts w:cs="HouschkaAltPro-Medium"/>
          <w:lang w:val="en-GB"/>
        </w:rPr>
      </w:pPr>
      <w:r w:rsidRPr="001E6AEA">
        <w:rPr>
          <w:rFonts w:cs="HouschkaAltPro-Medium"/>
          <w:lang w:val="en-GB"/>
        </w:rPr>
        <w:t>Renewable energy in the Wadden Sea refers to wind energy</w:t>
      </w:r>
      <w:r w:rsidR="00F55AD6" w:rsidRPr="001E6AEA">
        <w:rPr>
          <w:rFonts w:cs="HouschkaAltPro-Medium"/>
          <w:lang w:val="en-GB"/>
        </w:rPr>
        <w:t xml:space="preserve"> </w:t>
      </w:r>
      <w:r w:rsidR="0050333C" w:rsidRPr="001E6AEA">
        <w:rPr>
          <w:rFonts w:cs="HouschkaAltPro-Medium"/>
          <w:lang w:val="en-GB"/>
        </w:rPr>
        <w:t xml:space="preserve">both in the offshore area and the coastal area. Concerning the offshore areas, </w:t>
      </w:r>
      <w:r w:rsidR="004F1894" w:rsidRPr="001E6AEA">
        <w:rPr>
          <w:rFonts w:cs="HouschkaAltPro-Medium"/>
          <w:lang w:val="en-GB"/>
        </w:rPr>
        <w:t>this</w:t>
      </w:r>
      <w:r w:rsidR="0050333C" w:rsidRPr="001E6AEA">
        <w:rPr>
          <w:rFonts w:cs="HouschkaAltPro-Medium"/>
          <w:lang w:val="en-GB"/>
        </w:rPr>
        <w:t xml:space="preserve"> </w:t>
      </w:r>
      <w:r w:rsidR="00447AAF" w:rsidRPr="001E6AEA">
        <w:rPr>
          <w:rFonts w:cs="HouschkaAltPro-Medium"/>
          <w:lang w:val="en-GB"/>
        </w:rPr>
        <w:t xml:space="preserve">report </w:t>
      </w:r>
      <w:r w:rsidR="004F1894" w:rsidRPr="001E6AEA">
        <w:rPr>
          <w:rFonts w:cs="HouschkaAltPro-Medium"/>
          <w:lang w:val="en-GB"/>
        </w:rPr>
        <w:t>will focus</w:t>
      </w:r>
      <w:r w:rsidR="0050333C" w:rsidRPr="001E6AEA">
        <w:rPr>
          <w:rFonts w:cs="HouschkaAltPro-Medium"/>
          <w:lang w:val="en-GB"/>
        </w:rPr>
        <w:t xml:space="preserve"> on the areas where wind farms exist or will be erected in the next ten years’ time and </w:t>
      </w:r>
      <w:r w:rsidR="00F55AD6" w:rsidRPr="001E6AEA">
        <w:rPr>
          <w:rFonts w:cs="HouschkaAltPro-Medium"/>
          <w:lang w:val="en-GB"/>
        </w:rPr>
        <w:t xml:space="preserve">the </w:t>
      </w:r>
      <w:r w:rsidR="002C701D" w:rsidRPr="001E6AEA">
        <w:rPr>
          <w:rFonts w:cs="HouschkaAltPro-Medium"/>
          <w:lang w:val="en-GB"/>
        </w:rPr>
        <w:t xml:space="preserve">high voltage </w:t>
      </w:r>
      <w:r w:rsidR="004F1894" w:rsidRPr="001E6AEA">
        <w:rPr>
          <w:rFonts w:cs="HouschkaAltPro-Medium"/>
          <w:lang w:val="en-GB"/>
        </w:rPr>
        <w:t xml:space="preserve">power </w:t>
      </w:r>
      <w:r w:rsidR="00F55AD6" w:rsidRPr="001E6AEA">
        <w:rPr>
          <w:rFonts w:cs="HouschkaAltPro-Medium"/>
          <w:lang w:val="en-GB"/>
        </w:rPr>
        <w:t>cables</w:t>
      </w:r>
      <w:r w:rsidR="004F1894" w:rsidRPr="001E6AEA">
        <w:rPr>
          <w:rFonts w:cs="HouschkaAltPro-Medium"/>
          <w:lang w:val="en-GB"/>
        </w:rPr>
        <w:t xml:space="preserve"> which connect these areas to the mainland. In addition to that, the development of wind farms in the coastal area adjacent to the Wadden Sea WH site will be described.</w:t>
      </w:r>
    </w:p>
    <w:p w14:paraId="1218E13E" w14:textId="1B6596B5" w:rsidR="00761A98" w:rsidRPr="001E6AEA" w:rsidRDefault="004F1894" w:rsidP="001E6AEA">
      <w:pPr>
        <w:pStyle w:val="4bodytext"/>
        <w:rPr>
          <w:rFonts w:cs="HouschkaAltPro-Medium"/>
          <w:lang w:val="en-GB"/>
        </w:rPr>
      </w:pPr>
      <w:r w:rsidRPr="001E6AEA">
        <w:rPr>
          <w:rFonts w:cs="HouschkaAltPro-Medium"/>
          <w:lang w:val="en-GB"/>
        </w:rPr>
        <w:t xml:space="preserve">This inventory starts with </w:t>
      </w:r>
      <w:r w:rsidR="005C2D68" w:rsidRPr="001E6AEA">
        <w:rPr>
          <w:rFonts w:cs="HouschkaAltPro-Medium"/>
          <w:lang w:val="en-GB"/>
        </w:rPr>
        <w:t>outlining</w:t>
      </w:r>
      <w:r w:rsidRPr="001E6AEA">
        <w:rPr>
          <w:rFonts w:cs="HouschkaAltPro-Medium"/>
          <w:lang w:val="en-GB"/>
        </w:rPr>
        <w:t xml:space="preserve"> the current policies and status quo concerning wind energy and its development on- and offshore. </w:t>
      </w:r>
      <w:r w:rsidR="00761A98" w:rsidRPr="001E6AEA">
        <w:rPr>
          <w:rFonts w:cs="HouschkaAltPro-Medium"/>
          <w:lang w:val="en-GB"/>
        </w:rPr>
        <w:t>This will, firstly, be done by describing the policies and regulations on an international level, which comprises beneath the TWSC’s own policies also aspects of conventions and directives such as OSPAR and the EU – MSFD.</w:t>
      </w:r>
    </w:p>
    <w:p w14:paraId="6DAB6CA3" w14:textId="6A9D629C" w:rsidR="004F1894" w:rsidRPr="001E6AEA" w:rsidRDefault="004F1894" w:rsidP="004B5646">
      <w:pPr>
        <w:pStyle w:val="4bodytext"/>
        <w:rPr>
          <w:rFonts w:cs="HouschkaAltPro-Medium"/>
          <w:lang w:val="en-GB"/>
        </w:rPr>
      </w:pPr>
      <w:r w:rsidRPr="001E6AEA">
        <w:rPr>
          <w:rFonts w:cs="HouschkaAltPro-Medium"/>
          <w:lang w:val="en-GB"/>
        </w:rPr>
        <w:t xml:space="preserve">In a second step, the existing tools and contents of spatial planning in the three countries will be presented. </w:t>
      </w:r>
      <w:r w:rsidR="00761A98" w:rsidRPr="001E6AEA">
        <w:rPr>
          <w:rFonts w:cs="HouschkaAltPro-Medium"/>
          <w:lang w:val="en-GB"/>
        </w:rPr>
        <w:t xml:space="preserve">These are the levels at which the basic </w:t>
      </w:r>
      <w:r w:rsidR="0057781A" w:rsidRPr="001E6AEA">
        <w:rPr>
          <w:rFonts w:cs="HouschkaAltPro-Medium"/>
          <w:lang w:val="en-GB"/>
        </w:rPr>
        <w:t>decisions for the further development and implementation</w:t>
      </w:r>
      <w:r w:rsidR="00295358" w:rsidRPr="001E6AEA">
        <w:rPr>
          <w:rFonts w:cs="HouschkaAltPro-Medium"/>
          <w:lang w:val="en-GB"/>
        </w:rPr>
        <w:t xml:space="preserve"> are made</w:t>
      </w:r>
      <w:r w:rsidR="0057781A" w:rsidRPr="001E6AEA">
        <w:rPr>
          <w:rFonts w:cs="HouschkaAltPro-Medium"/>
          <w:lang w:val="en-GB"/>
        </w:rPr>
        <w:t>. I</w:t>
      </w:r>
      <w:r w:rsidRPr="001E6AEA">
        <w:rPr>
          <w:rFonts w:cs="HouschkaAltPro-Medium"/>
          <w:lang w:val="en-GB"/>
        </w:rPr>
        <w:t xml:space="preserve">n a third step, concrete </w:t>
      </w:r>
      <w:r w:rsidR="00761A98" w:rsidRPr="001E6AEA">
        <w:rPr>
          <w:rFonts w:cs="HouschkaAltPro-Medium"/>
          <w:lang w:val="en-GB"/>
        </w:rPr>
        <w:t>actions and the impacts on the environment will be highlighted.</w:t>
      </w:r>
      <w:r w:rsidR="0057781A" w:rsidRPr="001E6AEA">
        <w:rPr>
          <w:rFonts w:cs="HouschkaAltPro-Medium"/>
          <w:lang w:val="en-GB"/>
        </w:rPr>
        <w:t xml:space="preserve"> Therefore, the contents of a permission procedure, comprising preventive and mitigation measures</w:t>
      </w:r>
      <w:r w:rsidR="004A7599" w:rsidRPr="001E6AEA">
        <w:rPr>
          <w:rFonts w:cs="HouschkaAltPro-Medium"/>
          <w:lang w:val="en-GB"/>
        </w:rPr>
        <w:t xml:space="preserve"> are mentioned in this chapter</w:t>
      </w:r>
      <w:r w:rsidR="0057781A" w:rsidRPr="001E6AEA">
        <w:rPr>
          <w:rFonts w:cs="HouschkaAltPro-Medium"/>
          <w:lang w:val="en-GB"/>
        </w:rPr>
        <w:t>.</w:t>
      </w:r>
    </w:p>
    <w:p w14:paraId="4982DA95" w14:textId="405E4966" w:rsidR="0057781A" w:rsidRPr="001E6AEA" w:rsidRDefault="0057781A" w:rsidP="001E6AEA">
      <w:pPr>
        <w:pStyle w:val="4bodytext"/>
        <w:rPr>
          <w:rFonts w:cs="HouschkaAltPro-Medium"/>
          <w:lang w:val="en-GB"/>
        </w:rPr>
      </w:pPr>
      <w:r w:rsidRPr="001E6AEA">
        <w:rPr>
          <w:rFonts w:cs="HouschkaAltPro-Medium"/>
          <w:lang w:val="en-GB"/>
        </w:rPr>
        <w:t xml:space="preserve">The conclusion </w:t>
      </w:r>
      <w:r w:rsidR="00700980" w:rsidRPr="001E6AEA">
        <w:rPr>
          <w:rFonts w:cs="HouschkaAltPro-Medium"/>
          <w:lang w:val="en-GB"/>
        </w:rPr>
        <w:t>will wrap up if there is a further need for coordination, exchange and harmoni</w:t>
      </w:r>
      <w:r w:rsidR="00295358" w:rsidRPr="001E6AEA">
        <w:rPr>
          <w:rFonts w:cs="HouschkaAltPro-Medium"/>
          <w:lang w:val="en-GB"/>
        </w:rPr>
        <w:t>s</w:t>
      </w:r>
      <w:r w:rsidR="00700980" w:rsidRPr="001E6AEA">
        <w:rPr>
          <w:rFonts w:cs="HouschkaAltPro-Medium"/>
          <w:lang w:val="en-GB"/>
        </w:rPr>
        <w:t>ation of procedures within the existing frameworks of the TWSC.</w:t>
      </w:r>
    </w:p>
    <w:p w14:paraId="04818098" w14:textId="31FC09D0" w:rsidR="00CA34F3" w:rsidRDefault="00CA34F3" w:rsidP="000254CE">
      <w:pPr>
        <w:spacing w:after="200" w:line="276" w:lineRule="auto"/>
        <w:rPr>
          <w:rFonts w:ascii="Georgia" w:hAnsi="Georgia"/>
          <w:sz w:val="20"/>
          <w:szCs w:val="20"/>
        </w:rPr>
      </w:pPr>
    </w:p>
    <w:p w14:paraId="53FACA06" w14:textId="1E76F411" w:rsidR="00F40945" w:rsidRPr="004B5646" w:rsidRDefault="00295358" w:rsidP="004B5646">
      <w:pPr>
        <w:pStyle w:val="2sub-sections"/>
        <w:numPr>
          <w:ilvl w:val="0"/>
          <w:numId w:val="24"/>
        </w:numPr>
        <w:ind w:left="0" w:firstLine="0"/>
      </w:pPr>
      <w:r w:rsidRPr="004B5646">
        <w:t>Policy and Regulations TWSC / regional level (MSFD/OSPAR)</w:t>
      </w:r>
    </w:p>
    <w:p w14:paraId="0472878E" w14:textId="77777777" w:rsidR="00CA34F3" w:rsidRPr="00C813CE" w:rsidRDefault="00CA34F3" w:rsidP="000254CE">
      <w:pPr>
        <w:spacing w:after="200" w:line="276" w:lineRule="auto"/>
        <w:rPr>
          <w:rFonts w:ascii="Georgia" w:hAnsi="Georgia"/>
          <w:sz w:val="20"/>
          <w:szCs w:val="20"/>
          <w:u w:val="single"/>
        </w:rPr>
      </w:pPr>
    </w:p>
    <w:p w14:paraId="7A79F4F6" w14:textId="2A3A1921" w:rsidR="00B578DE" w:rsidRPr="004B5646" w:rsidRDefault="00DE7678" w:rsidP="004B5646">
      <w:pPr>
        <w:pStyle w:val="3subheadings"/>
      </w:pPr>
      <w:r w:rsidRPr="004B5646">
        <w:t xml:space="preserve">2.1 </w:t>
      </w:r>
      <w:r w:rsidR="00AE4FBE" w:rsidRPr="004B5646">
        <w:t>OSPAR</w:t>
      </w:r>
    </w:p>
    <w:p w14:paraId="35A07200" w14:textId="6FA09240" w:rsidR="00735AF8" w:rsidRPr="004B5646" w:rsidRDefault="00B578DE" w:rsidP="004B5646">
      <w:pPr>
        <w:spacing w:after="170" w:line="340" w:lineRule="exact"/>
        <w:rPr>
          <w:rFonts w:ascii="Georgia" w:hAnsi="Georgia"/>
          <w:sz w:val="22"/>
          <w:szCs w:val="22"/>
          <w:highlight w:val="yellow"/>
        </w:rPr>
      </w:pPr>
      <w:r w:rsidRPr="004B5646">
        <w:rPr>
          <w:rFonts w:ascii="Georgia" w:hAnsi="Georgia"/>
          <w:sz w:val="22"/>
          <w:szCs w:val="22"/>
        </w:rPr>
        <w:t xml:space="preserve">The three countries are also contracting parties to OSPAR, the international convention </w:t>
      </w:r>
      <w:r w:rsidR="00B91BF1" w:rsidRPr="004B5646">
        <w:rPr>
          <w:rFonts w:ascii="Georgia" w:hAnsi="Georgia"/>
          <w:sz w:val="22"/>
          <w:szCs w:val="22"/>
        </w:rPr>
        <w:t xml:space="preserve">for </w:t>
      </w:r>
      <w:r w:rsidRPr="004B5646">
        <w:rPr>
          <w:rFonts w:ascii="Georgia" w:hAnsi="Georgia"/>
          <w:sz w:val="22"/>
          <w:szCs w:val="22"/>
        </w:rPr>
        <w:t xml:space="preserve">the protection of </w:t>
      </w:r>
      <w:r w:rsidR="00B91BF1" w:rsidRPr="004B5646">
        <w:rPr>
          <w:rFonts w:ascii="Georgia" w:hAnsi="Georgia"/>
          <w:sz w:val="22"/>
          <w:szCs w:val="22"/>
        </w:rPr>
        <w:t xml:space="preserve">the marine environment of </w:t>
      </w:r>
      <w:r w:rsidRPr="004B5646">
        <w:rPr>
          <w:rFonts w:ascii="Georgia" w:hAnsi="Georgia"/>
          <w:sz w:val="22"/>
          <w:szCs w:val="22"/>
        </w:rPr>
        <w:t>the North</w:t>
      </w:r>
      <w:r w:rsidR="00B91BF1" w:rsidRPr="004B5646">
        <w:rPr>
          <w:rFonts w:ascii="Georgia" w:hAnsi="Georgia"/>
          <w:sz w:val="22"/>
          <w:szCs w:val="22"/>
        </w:rPr>
        <w:t>-</w:t>
      </w:r>
      <w:r w:rsidRPr="004B5646">
        <w:rPr>
          <w:rFonts w:ascii="Georgia" w:hAnsi="Georgia"/>
          <w:sz w:val="22"/>
          <w:szCs w:val="22"/>
        </w:rPr>
        <w:t>East Atlantic.</w:t>
      </w:r>
      <w:r w:rsidR="00B91BF1" w:rsidRPr="004B5646">
        <w:rPr>
          <w:rFonts w:ascii="Georgia" w:hAnsi="Georgia"/>
          <w:sz w:val="22"/>
          <w:szCs w:val="22"/>
        </w:rPr>
        <w:t xml:space="preserve"> The OSPAR Convention entered into force on 25 March 1998, replacing the Oslo and Paris Conventions</w:t>
      </w:r>
      <w:r w:rsidR="00CA34F3" w:rsidRPr="004B5646">
        <w:rPr>
          <w:rFonts w:ascii="Georgia" w:hAnsi="Georgia"/>
          <w:sz w:val="22"/>
          <w:szCs w:val="22"/>
        </w:rPr>
        <w:t xml:space="preserve"> </w:t>
      </w:r>
      <w:r w:rsidR="00B91BF1" w:rsidRPr="004B5646">
        <w:rPr>
          <w:rFonts w:ascii="Georgia" w:hAnsi="Georgia"/>
          <w:sz w:val="22"/>
          <w:szCs w:val="22"/>
        </w:rPr>
        <w:t xml:space="preserve">(hence the name of the convention. Since 1998, the cooperation of the Contracting Parties covers all human activities that might adversely affect the marine environment of the North-East Atlantic. </w:t>
      </w:r>
      <w:r w:rsidR="00176038" w:rsidRPr="004B5646">
        <w:rPr>
          <w:rFonts w:ascii="Georgia" w:hAnsi="Georgia"/>
          <w:sz w:val="22"/>
          <w:szCs w:val="22"/>
        </w:rPr>
        <w:t>P</w:t>
      </w:r>
      <w:r w:rsidR="00B91BF1" w:rsidRPr="004B5646">
        <w:rPr>
          <w:rFonts w:ascii="Georgia" w:hAnsi="Georgia"/>
          <w:sz w:val="22"/>
          <w:szCs w:val="22"/>
        </w:rPr>
        <w:t xml:space="preserve">rogrammes and measures cannot be adopted under the Convention on questions relating to fisheries management and there is a preference for issues related to shipping to be dealt with by the IMO. </w:t>
      </w:r>
    </w:p>
    <w:p w14:paraId="01C4664C" w14:textId="7432874A" w:rsidR="00B91BF1" w:rsidRPr="004B5646" w:rsidRDefault="00176038" w:rsidP="004B5646">
      <w:pPr>
        <w:spacing w:after="170" w:line="340" w:lineRule="exact"/>
        <w:rPr>
          <w:rFonts w:ascii="Georgia" w:hAnsi="Georgia"/>
          <w:sz w:val="22"/>
          <w:szCs w:val="22"/>
        </w:rPr>
      </w:pPr>
      <w:r w:rsidRPr="004B5646">
        <w:rPr>
          <w:rFonts w:ascii="Georgia" w:hAnsi="Georgia"/>
          <w:sz w:val="22"/>
          <w:szCs w:val="22"/>
        </w:rPr>
        <w:t>Concerning offshore energy</w:t>
      </w:r>
      <w:r w:rsidR="00735AF8" w:rsidRPr="004B5646">
        <w:rPr>
          <w:rFonts w:ascii="Georgia" w:hAnsi="Georgia"/>
          <w:sz w:val="22"/>
          <w:szCs w:val="22"/>
        </w:rPr>
        <w:t xml:space="preserve">, the </w:t>
      </w:r>
      <w:r w:rsidR="00735AF8" w:rsidRPr="004B5646">
        <w:rPr>
          <w:rFonts w:ascii="Georgia" w:hAnsi="Georgia"/>
          <w:i/>
          <w:sz w:val="22"/>
          <w:szCs w:val="22"/>
        </w:rPr>
        <w:t>OSPAR Guidance on Environmental Considerations f</w:t>
      </w:r>
      <w:r w:rsidRPr="004B5646">
        <w:rPr>
          <w:rFonts w:ascii="Georgia" w:hAnsi="Georgia"/>
          <w:i/>
          <w:sz w:val="22"/>
          <w:szCs w:val="22"/>
        </w:rPr>
        <w:t>o</w:t>
      </w:r>
      <w:r w:rsidR="00735AF8" w:rsidRPr="004B5646">
        <w:rPr>
          <w:rFonts w:ascii="Georgia" w:hAnsi="Georgia"/>
          <w:i/>
          <w:sz w:val="22"/>
          <w:szCs w:val="22"/>
        </w:rPr>
        <w:t>r</w:t>
      </w:r>
      <w:r w:rsidRPr="004B5646">
        <w:rPr>
          <w:rFonts w:ascii="Georgia" w:hAnsi="Georgia"/>
          <w:i/>
          <w:sz w:val="22"/>
          <w:szCs w:val="22"/>
        </w:rPr>
        <w:t xml:space="preserve"> </w:t>
      </w:r>
      <w:r w:rsidR="00735AF8" w:rsidRPr="004B5646">
        <w:rPr>
          <w:rFonts w:ascii="Georgia" w:hAnsi="Georgia"/>
          <w:i/>
          <w:sz w:val="22"/>
          <w:szCs w:val="22"/>
        </w:rPr>
        <w:t>Offshore Wind Farm Development</w:t>
      </w:r>
      <w:r w:rsidRPr="004B5646">
        <w:rPr>
          <w:rStyle w:val="Funotenzeichen"/>
          <w:rFonts w:ascii="Georgia" w:hAnsi="Georgia"/>
          <w:i/>
          <w:sz w:val="22"/>
          <w:szCs w:val="22"/>
        </w:rPr>
        <w:footnoteReference w:id="1"/>
      </w:r>
      <w:r w:rsidR="00735AF8" w:rsidRPr="004B5646">
        <w:rPr>
          <w:rFonts w:ascii="Georgia" w:hAnsi="Georgia"/>
          <w:sz w:val="22"/>
          <w:szCs w:val="22"/>
        </w:rPr>
        <w:t xml:space="preserve"> (with last update in 2008) has been</w:t>
      </w:r>
      <w:r w:rsidRPr="004B5646">
        <w:rPr>
          <w:rFonts w:ascii="Georgia" w:hAnsi="Georgia"/>
          <w:sz w:val="22"/>
          <w:szCs w:val="22"/>
        </w:rPr>
        <w:t xml:space="preserve"> elaborated</w:t>
      </w:r>
      <w:r w:rsidR="00735AF8" w:rsidRPr="004B5646">
        <w:rPr>
          <w:rFonts w:ascii="Georgia" w:hAnsi="Georgia"/>
          <w:sz w:val="22"/>
          <w:szCs w:val="22"/>
        </w:rPr>
        <w:t xml:space="preserve">. The purpose of this guidance note is to assist OSPAR contracting parties, developers, consultants, regulators or any other interested parties or individuals in the identification and consideration of some of the issues </w:t>
      </w:r>
      <w:r w:rsidR="00735AF8" w:rsidRPr="004B5646">
        <w:rPr>
          <w:rFonts w:ascii="Georgia" w:hAnsi="Georgia"/>
          <w:sz w:val="22"/>
          <w:szCs w:val="22"/>
        </w:rPr>
        <w:lastRenderedPageBreak/>
        <w:t>associated with determining the environmental effects of offshore wind farm developments.</w:t>
      </w:r>
      <w:r w:rsidR="00993629" w:rsidRPr="004B5646">
        <w:rPr>
          <w:rFonts w:ascii="Georgia" w:hAnsi="Georgia"/>
          <w:sz w:val="22"/>
          <w:szCs w:val="22"/>
        </w:rPr>
        <w:t xml:space="preserve"> It covers the topics </w:t>
      </w:r>
      <w:r w:rsidRPr="004B5646">
        <w:rPr>
          <w:rFonts w:ascii="Georgia" w:hAnsi="Georgia"/>
          <w:sz w:val="22"/>
          <w:szCs w:val="22"/>
        </w:rPr>
        <w:t>l</w:t>
      </w:r>
      <w:r w:rsidR="00993629" w:rsidRPr="004B5646">
        <w:rPr>
          <w:rFonts w:ascii="Georgia" w:hAnsi="Georgia"/>
          <w:sz w:val="22"/>
          <w:szCs w:val="22"/>
        </w:rPr>
        <w:t xml:space="preserve">ocation, </w:t>
      </w:r>
      <w:r w:rsidRPr="004B5646">
        <w:rPr>
          <w:rFonts w:ascii="Georgia" w:hAnsi="Georgia"/>
          <w:sz w:val="22"/>
          <w:szCs w:val="22"/>
        </w:rPr>
        <w:t>l</w:t>
      </w:r>
      <w:r w:rsidR="00993629" w:rsidRPr="004B5646">
        <w:rPr>
          <w:rFonts w:ascii="Georgia" w:hAnsi="Georgia"/>
          <w:sz w:val="22"/>
          <w:szCs w:val="22"/>
        </w:rPr>
        <w:t xml:space="preserve">icensing, </w:t>
      </w:r>
      <w:r w:rsidRPr="004B5646">
        <w:rPr>
          <w:rFonts w:ascii="Georgia" w:hAnsi="Georgia"/>
          <w:sz w:val="22"/>
          <w:szCs w:val="22"/>
        </w:rPr>
        <w:t>m</w:t>
      </w:r>
      <w:r w:rsidR="00993629" w:rsidRPr="004B5646">
        <w:rPr>
          <w:rFonts w:ascii="Georgia" w:hAnsi="Georgia"/>
          <w:sz w:val="22"/>
          <w:szCs w:val="22"/>
        </w:rPr>
        <w:t xml:space="preserve">onitoring, </w:t>
      </w:r>
      <w:r w:rsidRPr="004B5646">
        <w:rPr>
          <w:rFonts w:ascii="Georgia" w:hAnsi="Georgia"/>
          <w:sz w:val="22"/>
          <w:szCs w:val="22"/>
        </w:rPr>
        <w:t>c</w:t>
      </w:r>
      <w:r w:rsidR="00993629" w:rsidRPr="004B5646">
        <w:rPr>
          <w:rFonts w:ascii="Georgia" w:hAnsi="Georgia"/>
          <w:sz w:val="22"/>
          <w:szCs w:val="22"/>
        </w:rPr>
        <w:t xml:space="preserve">onstruction and </w:t>
      </w:r>
      <w:r w:rsidRPr="004B5646">
        <w:rPr>
          <w:rFonts w:ascii="Georgia" w:hAnsi="Georgia"/>
          <w:sz w:val="22"/>
          <w:szCs w:val="22"/>
        </w:rPr>
        <w:t>o</w:t>
      </w:r>
      <w:r w:rsidR="00993629" w:rsidRPr="004B5646">
        <w:rPr>
          <w:rFonts w:ascii="Georgia" w:hAnsi="Georgia"/>
          <w:sz w:val="22"/>
          <w:szCs w:val="22"/>
        </w:rPr>
        <w:t xml:space="preserve">peration, </w:t>
      </w:r>
      <w:r w:rsidRPr="004B5646">
        <w:rPr>
          <w:rFonts w:ascii="Georgia" w:hAnsi="Georgia"/>
          <w:sz w:val="22"/>
          <w:szCs w:val="22"/>
        </w:rPr>
        <w:t>r</w:t>
      </w:r>
      <w:r w:rsidR="00993629" w:rsidRPr="004B5646">
        <w:rPr>
          <w:rFonts w:ascii="Georgia" w:hAnsi="Georgia"/>
          <w:sz w:val="22"/>
          <w:szCs w:val="22"/>
        </w:rPr>
        <w:t>emoval/</w:t>
      </w:r>
      <w:r w:rsidRPr="004B5646">
        <w:rPr>
          <w:rFonts w:ascii="Georgia" w:hAnsi="Georgia"/>
          <w:sz w:val="22"/>
          <w:szCs w:val="22"/>
        </w:rPr>
        <w:t>d</w:t>
      </w:r>
      <w:r w:rsidR="00993629" w:rsidRPr="004B5646">
        <w:rPr>
          <w:rFonts w:ascii="Georgia" w:hAnsi="Georgia"/>
          <w:sz w:val="22"/>
          <w:szCs w:val="22"/>
        </w:rPr>
        <w:t>ecommissioning. The Contracting parties have to report regularly about their application of the is</w:t>
      </w:r>
      <w:r w:rsidRPr="004B5646">
        <w:rPr>
          <w:rFonts w:ascii="Georgia" w:hAnsi="Georgia"/>
          <w:sz w:val="22"/>
          <w:szCs w:val="22"/>
        </w:rPr>
        <w:t>s</w:t>
      </w:r>
      <w:r w:rsidR="00993629" w:rsidRPr="004B5646">
        <w:rPr>
          <w:rFonts w:ascii="Georgia" w:hAnsi="Georgia"/>
          <w:sz w:val="22"/>
          <w:szCs w:val="22"/>
        </w:rPr>
        <w:t>ues mentioned in the guidance paper.</w:t>
      </w:r>
    </w:p>
    <w:p w14:paraId="544B2A1D" w14:textId="701C7730" w:rsidR="006B3274" w:rsidRPr="004B5646" w:rsidRDefault="006B3274" w:rsidP="004B5646">
      <w:pPr>
        <w:spacing w:after="170" w:line="340" w:lineRule="exact"/>
        <w:rPr>
          <w:rFonts w:ascii="Georgia" w:hAnsi="Georgia"/>
          <w:sz w:val="22"/>
          <w:szCs w:val="22"/>
        </w:rPr>
      </w:pPr>
      <w:r w:rsidRPr="004B5646">
        <w:rPr>
          <w:rFonts w:ascii="Georgia" w:hAnsi="Georgia"/>
          <w:sz w:val="22"/>
          <w:szCs w:val="22"/>
        </w:rPr>
        <w:t>OSPAR is working on a revision of the North-East-Atlantic Environmental Strategy (NEAES)</w:t>
      </w:r>
      <w:r w:rsidR="00CA6B14" w:rsidRPr="004B5646">
        <w:rPr>
          <w:rFonts w:ascii="Georgia" w:hAnsi="Georgia"/>
          <w:sz w:val="22"/>
          <w:szCs w:val="22"/>
        </w:rPr>
        <w:t xml:space="preserve"> until 2021.</w:t>
      </w:r>
      <w:r w:rsidRPr="004B5646">
        <w:rPr>
          <w:rFonts w:ascii="Georgia" w:hAnsi="Georgia"/>
          <w:sz w:val="22"/>
          <w:szCs w:val="22"/>
        </w:rPr>
        <w:t xml:space="preserve"> One of its operationa</w:t>
      </w:r>
      <w:r w:rsidR="00CA6B14" w:rsidRPr="004B5646">
        <w:rPr>
          <w:rFonts w:ascii="Georgia" w:hAnsi="Georgia"/>
          <w:sz w:val="22"/>
          <w:szCs w:val="22"/>
        </w:rPr>
        <w:t>l objectives will be related to</w:t>
      </w:r>
      <w:r w:rsidRPr="004B5646">
        <w:rPr>
          <w:rFonts w:ascii="Georgia" w:hAnsi="Georgia"/>
          <w:sz w:val="22"/>
          <w:szCs w:val="22"/>
        </w:rPr>
        <w:t xml:space="preserve"> ambient and impulsive noise</w:t>
      </w:r>
      <w:r w:rsidR="00CA6B14" w:rsidRPr="004B5646">
        <w:rPr>
          <w:rFonts w:ascii="Georgia" w:hAnsi="Georgia"/>
          <w:sz w:val="22"/>
          <w:szCs w:val="22"/>
        </w:rPr>
        <w:t xml:space="preserve"> and measures to be taken</w:t>
      </w:r>
      <w:r w:rsidRPr="004B5646">
        <w:rPr>
          <w:rFonts w:ascii="Georgia" w:hAnsi="Georgia"/>
          <w:sz w:val="22"/>
          <w:szCs w:val="22"/>
        </w:rPr>
        <w:t xml:space="preserve">.  </w:t>
      </w:r>
    </w:p>
    <w:p w14:paraId="4813B7DD" w14:textId="2556A555" w:rsidR="000F2BEF" w:rsidRDefault="000F2BEF" w:rsidP="004B5646">
      <w:pPr>
        <w:spacing w:after="170" w:line="340" w:lineRule="exact"/>
        <w:rPr>
          <w:rFonts w:ascii="Georgia" w:hAnsi="Georgia"/>
          <w:sz w:val="22"/>
          <w:szCs w:val="22"/>
        </w:rPr>
      </w:pPr>
      <w:r w:rsidRPr="004B5646">
        <w:rPr>
          <w:rFonts w:ascii="Georgia" w:hAnsi="Georgia"/>
          <w:sz w:val="22"/>
          <w:szCs w:val="22"/>
        </w:rPr>
        <w:t xml:space="preserve">Common indicators for both ambient and impulsive noise are under development. In a first step, </w:t>
      </w:r>
      <w:r w:rsidR="006B3274" w:rsidRPr="004B5646">
        <w:rPr>
          <w:rFonts w:ascii="Georgia" w:hAnsi="Georgia"/>
          <w:sz w:val="22"/>
          <w:szCs w:val="22"/>
        </w:rPr>
        <w:t>sources shall be identified and mapped. With a risk assessment approach, the potential impact on species shall be analysed by comparing the sound data with existing data on MPAs and the distribution of marine species</w:t>
      </w:r>
      <w:r w:rsidR="00CA6B14" w:rsidRPr="004B5646">
        <w:rPr>
          <w:rFonts w:ascii="Georgia" w:hAnsi="Georgia"/>
          <w:sz w:val="22"/>
          <w:szCs w:val="22"/>
        </w:rPr>
        <w:t xml:space="preserve"> in a second step</w:t>
      </w:r>
      <w:r w:rsidR="006B3274" w:rsidRPr="004B5646">
        <w:rPr>
          <w:rFonts w:ascii="Georgia" w:hAnsi="Georgia"/>
          <w:sz w:val="22"/>
          <w:szCs w:val="22"/>
        </w:rPr>
        <w:t xml:space="preserve">. </w:t>
      </w:r>
      <w:r w:rsidR="00AE4FBE" w:rsidRPr="004B5646">
        <w:rPr>
          <w:rFonts w:ascii="Georgia" w:hAnsi="Georgia"/>
          <w:sz w:val="22"/>
          <w:szCs w:val="22"/>
        </w:rPr>
        <w:t>In order to use synergies, this process is aligned with the respective development taking place under the EU Marine Strategic Framework Directive (MSFD), as both the EU and many of its member states are contracting parties to OSPAR.</w:t>
      </w:r>
    </w:p>
    <w:p w14:paraId="08116FE5" w14:textId="77777777" w:rsidR="004B5646" w:rsidRPr="004B5646" w:rsidRDefault="004B5646" w:rsidP="004B5646">
      <w:pPr>
        <w:spacing w:after="170" w:line="340" w:lineRule="exact"/>
        <w:rPr>
          <w:rFonts w:ascii="Georgia" w:hAnsi="Georgia"/>
          <w:sz w:val="22"/>
          <w:szCs w:val="22"/>
        </w:rPr>
      </w:pPr>
    </w:p>
    <w:p w14:paraId="51193C93" w14:textId="11130745" w:rsidR="00A90D25" w:rsidRPr="004B5646" w:rsidRDefault="00DE7678" w:rsidP="004B5646">
      <w:pPr>
        <w:pStyle w:val="3subheadings"/>
      </w:pPr>
      <w:r w:rsidRPr="004B5646">
        <w:t xml:space="preserve">2.2 </w:t>
      </w:r>
      <w:r w:rsidR="00AE4FBE" w:rsidRPr="004B5646">
        <w:t>MSFD</w:t>
      </w:r>
    </w:p>
    <w:p w14:paraId="0141179A" w14:textId="55783437" w:rsidR="00176038" w:rsidRPr="004B5646" w:rsidRDefault="00DA3168" w:rsidP="004B5646">
      <w:pPr>
        <w:spacing w:after="170" w:line="340" w:lineRule="exact"/>
        <w:rPr>
          <w:rFonts w:ascii="Georgia" w:hAnsi="Georgia"/>
          <w:sz w:val="22"/>
          <w:szCs w:val="22"/>
        </w:rPr>
      </w:pPr>
      <w:r w:rsidRPr="004B5646">
        <w:rPr>
          <w:rFonts w:ascii="Georgia" w:hAnsi="Georgia"/>
          <w:sz w:val="22"/>
          <w:szCs w:val="22"/>
        </w:rPr>
        <w:t>The Marine Strategy Framework Directive (MSFD) (Directive 2008/56/EC), is the key component of the EU's policy for healthy, clean and productive seas. The implementation of the Directive aims to minimise the overall anthropogenic pressures to a level that does not impair the marine ecosystems’ ability to respond to man-made changes, while at the same time allowing the ocean's commodities (such as fish, seafood) and services to be used sustainably, by both current and future generations (ecosystem approach; Article 1(3)). The objective of the MSFD is to achieve</w:t>
      </w:r>
      <w:r w:rsidR="005E5748" w:rsidRPr="004B5646">
        <w:rPr>
          <w:rFonts w:ascii="Georgia" w:hAnsi="Georgia"/>
          <w:sz w:val="22"/>
          <w:szCs w:val="22"/>
        </w:rPr>
        <w:t xml:space="preserve"> </w:t>
      </w:r>
      <w:r w:rsidRPr="004B5646">
        <w:rPr>
          <w:rFonts w:ascii="Georgia" w:hAnsi="Georgia"/>
          <w:sz w:val="22"/>
          <w:szCs w:val="22"/>
        </w:rPr>
        <w:t xml:space="preserve">or </w:t>
      </w:r>
      <w:r w:rsidR="005E5748" w:rsidRPr="004B5646">
        <w:rPr>
          <w:rFonts w:ascii="Georgia" w:hAnsi="Georgia"/>
          <w:sz w:val="22"/>
          <w:szCs w:val="22"/>
        </w:rPr>
        <w:t>maintain</w:t>
      </w:r>
      <w:r w:rsidRPr="004B5646">
        <w:rPr>
          <w:rFonts w:ascii="Georgia" w:hAnsi="Georgia"/>
          <w:sz w:val="22"/>
          <w:szCs w:val="22"/>
        </w:rPr>
        <w:t xml:space="preserve"> a good environmental status </w:t>
      </w:r>
      <w:r w:rsidR="005E5748" w:rsidRPr="004B5646">
        <w:rPr>
          <w:rFonts w:ascii="Georgia" w:hAnsi="Georgia"/>
          <w:sz w:val="22"/>
          <w:szCs w:val="22"/>
        </w:rPr>
        <w:t xml:space="preserve">(GES) </w:t>
      </w:r>
      <w:r w:rsidRPr="004B5646">
        <w:rPr>
          <w:rFonts w:ascii="Georgia" w:hAnsi="Georgia"/>
          <w:sz w:val="22"/>
          <w:szCs w:val="22"/>
        </w:rPr>
        <w:t>by 2020.</w:t>
      </w:r>
    </w:p>
    <w:p w14:paraId="0003E0EE" w14:textId="7CE60618" w:rsidR="00DA3168" w:rsidRPr="004B5646" w:rsidRDefault="00DA3168" w:rsidP="004B5646">
      <w:pPr>
        <w:spacing w:after="170" w:line="340" w:lineRule="exact"/>
        <w:rPr>
          <w:rFonts w:ascii="Georgia" w:hAnsi="Georgia"/>
          <w:sz w:val="22"/>
          <w:szCs w:val="22"/>
        </w:rPr>
      </w:pPr>
      <w:r w:rsidRPr="004B5646">
        <w:rPr>
          <w:rFonts w:ascii="Georgia" w:hAnsi="Georgia"/>
          <w:sz w:val="22"/>
          <w:szCs w:val="22"/>
        </w:rPr>
        <w:t>This entails the development and implementation of marine strategies in order to protect and preserve the marine environment, prevent its deterioration or, where practicable, restore marine ecosystems in areas where they have been adversely affected while also reducing inputs in the marine environment (Article 1(2)).</w:t>
      </w:r>
    </w:p>
    <w:p w14:paraId="210927B8" w14:textId="5C520ABB" w:rsidR="00176038" w:rsidRPr="004B5646" w:rsidRDefault="00DA3168" w:rsidP="004B5646">
      <w:pPr>
        <w:spacing w:after="170" w:line="340" w:lineRule="exact"/>
        <w:rPr>
          <w:rFonts w:ascii="Georgia" w:hAnsi="Georgia"/>
          <w:sz w:val="22"/>
          <w:szCs w:val="22"/>
        </w:rPr>
      </w:pPr>
      <w:r w:rsidRPr="004B5646">
        <w:rPr>
          <w:rFonts w:ascii="Georgia" w:hAnsi="Georgia"/>
          <w:sz w:val="22"/>
          <w:szCs w:val="22"/>
        </w:rPr>
        <w:t xml:space="preserve">Being member states of the European Union, the implementation of the Marine Strategic Framework Directive lies with the three countries. Member States are required to report on the current state of nature and the environment (assessment in accordance with Article 8) of their marine </w:t>
      </w:r>
      <w:r w:rsidR="004B5646" w:rsidRPr="004B5646">
        <w:rPr>
          <w:rFonts w:ascii="Georgia" w:hAnsi="Georgia"/>
          <w:sz w:val="22"/>
          <w:szCs w:val="22"/>
        </w:rPr>
        <w:t>waters and</w:t>
      </w:r>
      <w:r w:rsidRPr="004B5646">
        <w:rPr>
          <w:rFonts w:ascii="Georgia" w:hAnsi="Georgia"/>
          <w:sz w:val="22"/>
          <w:szCs w:val="22"/>
        </w:rPr>
        <w:t xml:space="preserve"> define the desire</w:t>
      </w:r>
      <w:r w:rsidR="005E5748" w:rsidRPr="004B5646">
        <w:rPr>
          <w:rFonts w:ascii="Georgia" w:hAnsi="Georgia"/>
          <w:sz w:val="22"/>
          <w:szCs w:val="22"/>
        </w:rPr>
        <w:t>d state of their marine waters (GES</w:t>
      </w:r>
      <w:r w:rsidRPr="004B5646">
        <w:rPr>
          <w:rFonts w:ascii="Georgia" w:hAnsi="Georgia"/>
          <w:sz w:val="22"/>
          <w:szCs w:val="22"/>
        </w:rPr>
        <w:t xml:space="preserve">, Article 9). In the event of a deviation between the current and desired state of marine waters, or in order to maintain a good environmental status, the Member States must establish environmental targets (Article 10). </w:t>
      </w:r>
      <w:r w:rsidR="00934C93" w:rsidRPr="004B5646">
        <w:rPr>
          <w:rStyle w:val="Funotenzeichen"/>
          <w:rFonts w:ascii="Georgia" w:hAnsi="Georgia"/>
          <w:sz w:val="22"/>
          <w:szCs w:val="22"/>
        </w:rPr>
        <w:footnoteReference w:id="2"/>
      </w:r>
    </w:p>
    <w:p w14:paraId="54E3F5C7" w14:textId="4EAA544B" w:rsidR="00176038" w:rsidRPr="00C94541" w:rsidRDefault="00176038" w:rsidP="004B5646">
      <w:pPr>
        <w:spacing w:after="170" w:line="340" w:lineRule="exact"/>
        <w:rPr>
          <w:rFonts w:ascii="Georgia" w:hAnsi="Georgia"/>
          <w:color w:val="808080" w:themeColor="background1" w:themeShade="80"/>
          <w:sz w:val="22"/>
          <w:szCs w:val="22"/>
        </w:rPr>
      </w:pPr>
      <w:r w:rsidRPr="004B5646">
        <w:rPr>
          <w:rFonts w:ascii="Georgia" w:hAnsi="Georgia"/>
          <w:sz w:val="22"/>
          <w:szCs w:val="22"/>
        </w:rPr>
        <w:t>Besides the obligatory reporting about the environmental status regarding the</w:t>
      </w:r>
      <w:r w:rsidR="00DA3168" w:rsidRPr="004B5646">
        <w:rPr>
          <w:rFonts w:ascii="Georgia" w:hAnsi="Georgia"/>
          <w:sz w:val="22"/>
          <w:szCs w:val="22"/>
        </w:rPr>
        <w:t>se</w:t>
      </w:r>
      <w:r w:rsidRPr="004B5646">
        <w:rPr>
          <w:rFonts w:ascii="Georgia" w:hAnsi="Georgia"/>
          <w:sz w:val="22"/>
          <w:szCs w:val="22"/>
        </w:rPr>
        <w:t xml:space="preserve"> </w:t>
      </w:r>
      <w:r w:rsidR="00DA3168" w:rsidRPr="004B5646">
        <w:rPr>
          <w:rFonts w:ascii="Georgia" w:hAnsi="Georgia"/>
          <w:sz w:val="22"/>
          <w:szCs w:val="22"/>
        </w:rPr>
        <w:t>targets</w:t>
      </w:r>
      <w:r w:rsidRPr="004B5646">
        <w:rPr>
          <w:rFonts w:ascii="Georgia" w:hAnsi="Georgia"/>
          <w:sz w:val="22"/>
          <w:szCs w:val="22"/>
        </w:rPr>
        <w:t xml:space="preserve">, each member state has to develop and implement a so-called programme of measures. </w:t>
      </w:r>
      <w:r w:rsidR="00934C93" w:rsidRPr="004B5646">
        <w:rPr>
          <w:rFonts w:ascii="Georgia" w:hAnsi="Georgia"/>
          <w:sz w:val="22"/>
          <w:szCs w:val="22"/>
        </w:rPr>
        <w:t xml:space="preserve">In Germany, existing tools such as marine spatial planning and marine protected areas in </w:t>
      </w:r>
      <w:r w:rsidR="006B38C6" w:rsidRPr="004B5646">
        <w:rPr>
          <w:rFonts w:ascii="Georgia" w:hAnsi="Georgia"/>
          <w:sz w:val="22"/>
          <w:szCs w:val="22"/>
        </w:rPr>
        <w:t xml:space="preserve">both </w:t>
      </w:r>
      <w:r w:rsidR="00934C93" w:rsidRPr="004B5646">
        <w:rPr>
          <w:rFonts w:ascii="Georgia" w:hAnsi="Georgia"/>
          <w:sz w:val="22"/>
          <w:szCs w:val="22"/>
        </w:rPr>
        <w:t xml:space="preserve">EEZ and coastal waters shall be used to find the balance between nature protection and the development of </w:t>
      </w:r>
      <w:r w:rsidR="00934C93" w:rsidRPr="004B5646">
        <w:rPr>
          <w:rFonts w:ascii="Georgia" w:hAnsi="Georgia"/>
          <w:sz w:val="22"/>
          <w:szCs w:val="22"/>
        </w:rPr>
        <w:lastRenderedPageBreak/>
        <w:t>renewable energies.</w:t>
      </w:r>
      <w:r w:rsidR="006B38C6" w:rsidRPr="004B5646">
        <w:rPr>
          <w:rFonts w:ascii="Georgia" w:hAnsi="Georgia"/>
          <w:sz w:val="22"/>
          <w:szCs w:val="22"/>
        </w:rPr>
        <w:t xml:space="preserve"> Furthermore, t</w:t>
      </w:r>
      <w:r w:rsidR="00DA3168" w:rsidRPr="004B5646">
        <w:rPr>
          <w:rFonts w:ascii="Georgia" w:hAnsi="Georgia"/>
          <w:sz w:val="22"/>
          <w:szCs w:val="22"/>
        </w:rPr>
        <w:t>he topic of underwater noise</w:t>
      </w:r>
      <w:r w:rsidR="005E5748" w:rsidRPr="004B5646">
        <w:rPr>
          <w:rFonts w:ascii="Georgia" w:hAnsi="Georgia"/>
          <w:sz w:val="22"/>
          <w:szCs w:val="22"/>
        </w:rPr>
        <w:t>,</w:t>
      </w:r>
      <w:r w:rsidR="00DA3168" w:rsidRPr="004B5646">
        <w:rPr>
          <w:rFonts w:ascii="Georgia" w:hAnsi="Georgia"/>
          <w:sz w:val="22"/>
          <w:szCs w:val="22"/>
        </w:rPr>
        <w:t xml:space="preserve"> both of </w:t>
      </w:r>
      <w:r w:rsidR="005E5748" w:rsidRPr="004B5646">
        <w:rPr>
          <w:rFonts w:ascii="Georgia" w:hAnsi="Georgia"/>
          <w:sz w:val="22"/>
          <w:szCs w:val="22"/>
        </w:rPr>
        <w:t xml:space="preserve">an </w:t>
      </w:r>
      <w:r w:rsidR="00DA3168" w:rsidRPr="004B5646">
        <w:rPr>
          <w:rFonts w:ascii="Georgia" w:hAnsi="Georgia"/>
          <w:sz w:val="22"/>
          <w:szCs w:val="22"/>
        </w:rPr>
        <w:t xml:space="preserve">ambient and impulsive </w:t>
      </w:r>
      <w:r w:rsidR="005E5748" w:rsidRPr="004B5646">
        <w:rPr>
          <w:rFonts w:ascii="Georgia" w:hAnsi="Georgia"/>
          <w:sz w:val="22"/>
          <w:szCs w:val="22"/>
        </w:rPr>
        <w:t>quality</w:t>
      </w:r>
      <w:r w:rsidR="00DA3168" w:rsidRPr="004B5646">
        <w:rPr>
          <w:rFonts w:ascii="Georgia" w:hAnsi="Georgia"/>
          <w:sz w:val="22"/>
          <w:szCs w:val="22"/>
        </w:rPr>
        <w:t xml:space="preserve">, </w:t>
      </w:r>
      <w:r w:rsidR="005E5748" w:rsidRPr="004B5646">
        <w:rPr>
          <w:rFonts w:ascii="Georgia" w:hAnsi="Georgia"/>
          <w:sz w:val="22"/>
          <w:szCs w:val="22"/>
        </w:rPr>
        <w:t xml:space="preserve">has been incorporated. As a first step, </w:t>
      </w:r>
      <w:r w:rsidR="00934C93" w:rsidRPr="004B5646">
        <w:rPr>
          <w:rFonts w:ascii="Georgia" w:hAnsi="Georgia"/>
          <w:sz w:val="22"/>
          <w:szCs w:val="22"/>
        </w:rPr>
        <w:t>a sound register shall be developed.</w:t>
      </w:r>
      <w:r w:rsidRPr="004B5646">
        <w:rPr>
          <w:rFonts w:ascii="Georgia" w:hAnsi="Georgia"/>
          <w:sz w:val="22"/>
          <w:szCs w:val="22"/>
        </w:rPr>
        <w:t xml:space="preserve"> </w:t>
      </w:r>
      <w:r w:rsidR="00934C93" w:rsidRPr="004B5646">
        <w:rPr>
          <w:rFonts w:ascii="Georgia" w:hAnsi="Georgia"/>
          <w:sz w:val="22"/>
          <w:szCs w:val="22"/>
        </w:rPr>
        <w:t>Currently, these programmes are under revision.</w:t>
      </w:r>
      <w:r w:rsidR="00C94541">
        <w:rPr>
          <w:rFonts w:ascii="Georgia" w:hAnsi="Georgia"/>
          <w:sz w:val="22"/>
          <w:szCs w:val="22"/>
        </w:rPr>
        <w:t xml:space="preserve"> </w:t>
      </w:r>
      <w:r w:rsidR="00C94541" w:rsidRPr="00C94541">
        <w:rPr>
          <w:rFonts w:ascii="Georgia" w:hAnsi="Georgia"/>
          <w:color w:val="808080" w:themeColor="background1" w:themeShade="80"/>
          <w:sz w:val="22"/>
          <w:szCs w:val="22"/>
        </w:rPr>
        <w:t>[Note: to add short information of the situation in NL and DK]</w:t>
      </w:r>
    </w:p>
    <w:p w14:paraId="6FB94641" w14:textId="77777777" w:rsidR="00CA6B84" w:rsidRPr="004B5646" w:rsidRDefault="00CA6B84" w:rsidP="004B5646">
      <w:pPr>
        <w:spacing w:after="170" w:line="340" w:lineRule="exact"/>
        <w:rPr>
          <w:rFonts w:ascii="Georgia" w:hAnsi="Georgia"/>
          <w:sz w:val="22"/>
          <w:szCs w:val="22"/>
        </w:rPr>
      </w:pPr>
    </w:p>
    <w:p w14:paraId="526F3A9F" w14:textId="29C6CBE9" w:rsidR="00CA34F3" w:rsidRPr="00CA6B84" w:rsidRDefault="00DE7678" w:rsidP="00CA6B84">
      <w:pPr>
        <w:pStyle w:val="3subheadings"/>
      </w:pPr>
      <w:r w:rsidRPr="00CA6B84">
        <w:t xml:space="preserve">2.3 </w:t>
      </w:r>
      <w:r w:rsidR="00CA34F3" w:rsidRPr="00CA6B84">
        <w:t>TWSC</w:t>
      </w:r>
      <w:r w:rsidR="007920E2" w:rsidRPr="00CA6B84">
        <w:t xml:space="preserve"> (Common ground)</w:t>
      </w:r>
    </w:p>
    <w:p w14:paraId="592B8AA3" w14:textId="36402229" w:rsidR="00CA34F3" w:rsidRPr="00CA34F3" w:rsidRDefault="00CA34F3" w:rsidP="00CA34F3">
      <w:pPr>
        <w:spacing w:after="200" w:line="276" w:lineRule="auto"/>
        <w:rPr>
          <w:rFonts w:ascii="Georgia" w:hAnsi="Georgia"/>
          <w:sz w:val="20"/>
          <w:szCs w:val="20"/>
        </w:rPr>
      </w:pPr>
      <w:bookmarkStart w:id="0" w:name="_Hlk46832767"/>
      <w:r w:rsidRPr="00CA6B84">
        <w:rPr>
          <w:rFonts w:ascii="Georgia" w:hAnsi="Georgia"/>
          <w:sz w:val="22"/>
          <w:szCs w:val="22"/>
        </w:rPr>
        <w:t>There are no wind farms or wind turbines within the Wadden Sea World Heritage property. The transfer cables cross underneath the property.</w:t>
      </w:r>
      <w:bookmarkEnd w:id="0"/>
      <w:r w:rsidRPr="00CA6B84">
        <w:rPr>
          <w:rFonts w:ascii="Georgia" w:hAnsi="Georgia"/>
          <w:sz w:val="22"/>
          <w:szCs w:val="22"/>
        </w:rPr>
        <w:t xml:space="preserve"> This has been stated in the nomination dossier for the inscription on the UNESCO World Heritage List and been incorporated into the Wadden Sea Plan 2010 (WSP 2010)</w:t>
      </w:r>
      <w:r w:rsidR="00F02FF2">
        <w:rPr>
          <w:rFonts w:ascii="Georgia" w:hAnsi="Georgia"/>
          <w:sz w:val="20"/>
          <w:szCs w:val="20"/>
        </w:rPr>
        <w:t>.</w:t>
      </w:r>
    </w:p>
    <w:p w14:paraId="76726F32" w14:textId="75241172" w:rsidR="00CA34F3" w:rsidRPr="00CA6B84" w:rsidRDefault="00CA34F3" w:rsidP="00CA6B84">
      <w:pPr>
        <w:spacing w:after="170" w:line="340" w:lineRule="exact"/>
        <w:rPr>
          <w:rFonts w:ascii="Georgia" w:hAnsi="Georgia"/>
          <w:sz w:val="22"/>
          <w:szCs w:val="22"/>
        </w:rPr>
      </w:pPr>
      <w:bookmarkStart w:id="1" w:name="_Hlk46832992"/>
      <w:r w:rsidRPr="00CA6B84">
        <w:rPr>
          <w:rFonts w:ascii="Georgia" w:hAnsi="Georgia"/>
          <w:sz w:val="22"/>
          <w:szCs w:val="22"/>
        </w:rPr>
        <w:t xml:space="preserve">As laid down in the WSP 2010 (§§ 3.18, 4.17, 7.4, 8.4 and 9.11), it is the common policy that no wind turbines shall be erected in the Nature Conservation Area and to allow it outside the Conservation Area only if important ecological and landscape values are not negatively affected (§§ 3.19, 4.18, 7.5, 8.5 and 9.12 WSP). </w:t>
      </w:r>
    </w:p>
    <w:p w14:paraId="25B1CFF2" w14:textId="1595C32A" w:rsidR="00B160F9" w:rsidRPr="00CA6B84" w:rsidRDefault="00B160F9" w:rsidP="00CA6B84">
      <w:pPr>
        <w:spacing w:after="170" w:line="340" w:lineRule="exact"/>
        <w:rPr>
          <w:rFonts w:ascii="Georgia" w:hAnsi="Georgia"/>
          <w:sz w:val="22"/>
          <w:szCs w:val="22"/>
        </w:rPr>
      </w:pPr>
      <w:r w:rsidRPr="00CA6B84">
        <w:rPr>
          <w:rFonts w:ascii="Georgia" w:hAnsi="Georgia"/>
          <w:sz w:val="22"/>
          <w:szCs w:val="22"/>
        </w:rPr>
        <w:t>Nonetheless, the associated cable laying and connections to the mainland of the offshore Wind farms occur through the WSWH property.</w:t>
      </w:r>
    </w:p>
    <w:p w14:paraId="1F20C528" w14:textId="43BEC5E4" w:rsidR="00CA34F3" w:rsidRPr="00CA6B84" w:rsidRDefault="00B160F9" w:rsidP="00CA6B84">
      <w:pPr>
        <w:spacing w:after="170" w:line="340" w:lineRule="exact"/>
        <w:rPr>
          <w:rFonts w:ascii="Georgia" w:hAnsi="Georgia"/>
          <w:sz w:val="22"/>
          <w:szCs w:val="22"/>
        </w:rPr>
      </w:pPr>
      <w:r w:rsidRPr="00CA6B84">
        <w:rPr>
          <w:rFonts w:ascii="Georgia" w:hAnsi="Georgia"/>
          <w:sz w:val="22"/>
          <w:szCs w:val="22"/>
        </w:rPr>
        <w:t>T</w:t>
      </w:r>
      <w:r w:rsidR="00CA34F3" w:rsidRPr="00CA6B84">
        <w:rPr>
          <w:rFonts w:ascii="Georgia" w:hAnsi="Georgia"/>
          <w:sz w:val="22"/>
          <w:szCs w:val="22"/>
        </w:rPr>
        <w:t>he three countries agreed to “concentrate cable crossings through the Wadden Sea within a minimum of cable corridors and a minimum of cables using the best available techniques, e.g. cables with highest capacity available, and to communicate regularly on this item in order to use synergies” (§§ 3.17, 4.19, 5.10 and 7.3, WSP).</w:t>
      </w:r>
    </w:p>
    <w:bookmarkEnd w:id="1"/>
    <w:p w14:paraId="7E80DF21" w14:textId="03994B6E" w:rsidR="00CA34F3" w:rsidRPr="00CA6B84" w:rsidRDefault="00CA34F3" w:rsidP="00CA6B84">
      <w:pPr>
        <w:spacing w:after="170" w:line="340" w:lineRule="exact"/>
        <w:rPr>
          <w:rFonts w:ascii="Georgia" w:hAnsi="Georgia"/>
          <w:sz w:val="22"/>
          <w:szCs w:val="22"/>
        </w:rPr>
      </w:pPr>
      <w:r w:rsidRPr="00CA6B84">
        <w:rPr>
          <w:rFonts w:ascii="Georgia" w:hAnsi="Georgia"/>
          <w:sz w:val="22"/>
          <w:szCs w:val="22"/>
        </w:rPr>
        <w:t xml:space="preserve">Keeping this in mind, the Leeuwarden Declaration as of May 2018 contains the </w:t>
      </w:r>
      <w:r w:rsidR="009D2FC3" w:rsidRPr="00CA6B84">
        <w:rPr>
          <w:rFonts w:ascii="Georgia" w:hAnsi="Georgia"/>
          <w:sz w:val="22"/>
          <w:szCs w:val="22"/>
        </w:rPr>
        <w:t xml:space="preserve">stipulation to: </w:t>
      </w:r>
    </w:p>
    <w:p w14:paraId="4A2F7ED6" w14:textId="08BA9D3D" w:rsidR="00B160F9" w:rsidRPr="00CA6B84" w:rsidRDefault="00B160F9" w:rsidP="00CA6B84">
      <w:pPr>
        <w:spacing w:after="170" w:line="340" w:lineRule="exact"/>
        <w:rPr>
          <w:rFonts w:ascii="Georgia" w:hAnsi="Georgia"/>
          <w:i/>
          <w:sz w:val="22"/>
          <w:szCs w:val="22"/>
        </w:rPr>
      </w:pPr>
      <w:r w:rsidRPr="00CA6B84">
        <w:rPr>
          <w:rFonts w:ascii="Georgia" w:hAnsi="Georgia"/>
          <w:i/>
          <w:sz w:val="22"/>
          <w:szCs w:val="22"/>
        </w:rPr>
        <w:t>29. Instruct the Wadden Sea Board to review and monitor the impacts of renewable energy production and energy transportation on the Wadden Sea ecosystem and to consider measures to avoid or mitigate possible negative impacts by looking for best environmental practices also with the aim of developing, for example, related common principles to evaluate the impact of high-voltage power cables in the Wadden Sea Area in close consultation with the responsible bodies and stakeholders;</w:t>
      </w:r>
    </w:p>
    <w:p w14:paraId="15AA3554" w14:textId="3C2A799C" w:rsidR="00B160F9" w:rsidRPr="00CA6B84" w:rsidRDefault="00B160F9" w:rsidP="00CA6B84">
      <w:pPr>
        <w:spacing w:after="170" w:line="340" w:lineRule="exact"/>
        <w:rPr>
          <w:rFonts w:ascii="Georgia" w:hAnsi="Georgia"/>
          <w:sz w:val="22"/>
          <w:szCs w:val="22"/>
        </w:rPr>
      </w:pPr>
      <w:r w:rsidRPr="00CA6B84">
        <w:rPr>
          <w:rFonts w:ascii="Georgia" w:hAnsi="Georgia"/>
          <w:sz w:val="22"/>
          <w:szCs w:val="22"/>
        </w:rPr>
        <w:t xml:space="preserve">The procedures regarding legislation and planning which ensure that this common policy will be adhered to in the three countries will be described later in </w:t>
      </w:r>
      <w:r w:rsidRPr="00C94541">
        <w:rPr>
          <w:rFonts w:ascii="Georgia" w:hAnsi="Georgia"/>
          <w:sz w:val="22"/>
          <w:szCs w:val="22"/>
        </w:rPr>
        <w:t>this document.</w:t>
      </w:r>
      <w:r w:rsidR="005E5ABA" w:rsidRPr="00C94541">
        <w:rPr>
          <w:rFonts w:ascii="Georgia" w:hAnsi="Georgia"/>
          <w:sz w:val="22"/>
          <w:szCs w:val="22"/>
        </w:rPr>
        <w:t xml:space="preserve"> The</w:t>
      </w:r>
      <w:r w:rsidR="005E5ABA" w:rsidRPr="00CA6B84">
        <w:rPr>
          <w:rFonts w:ascii="Georgia" w:hAnsi="Georgia"/>
          <w:sz w:val="22"/>
          <w:szCs w:val="22"/>
        </w:rPr>
        <w:t xml:space="preserve"> following figure gives a first overview of the framework that is in place in the three countries</w:t>
      </w:r>
      <w:r w:rsidRPr="00CA6B84">
        <w:rPr>
          <w:rFonts w:ascii="Georgia" w:hAnsi="Georgia"/>
          <w:sz w:val="22"/>
          <w:szCs w:val="22"/>
        </w:rPr>
        <w:t>.</w:t>
      </w:r>
    </w:p>
    <w:p w14:paraId="518F7FF4" w14:textId="77777777" w:rsidR="00CA34F3" w:rsidRDefault="00CA34F3" w:rsidP="00C813CE">
      <w:pPr>
        <w:spacing w:after="200"/>
        <w:rPr>
          <w:rFonts w:ascii="Georgia" w:hAnsi="Georgia"/>
          <w:sz w:val="20"/>
          <w:szCs w:val="20"/>
        </w:rPr>
      </w:pPr>
    </w:p>
    <w:p w14:paraId="7FE8C3B5" w14:textId="269EFBCF" w:rsidR="005E5ABA" w:rsidRPr="004845CF" w:rsidRDefault="005E5ABA" w:rsidP="004845CF">
      <w:pPr>
        <w:pStyle w:val="6captions"/>
        <w:spacing w:after="0" w:line="240" w:lineRule="auto"/>
        <w:ind w:left="0"/>
        <w:rPr>
          <w:rFonts w:eastAsia="Times New Roman" w:cs="Times New Roman"/>
          <w:i w:val="0"/>
          <w:color w:val="auto"/>
          <w:sz w:val="18"/>
          <w:szCs w:val="18"/>
        </w:rPr>
      </w:pPr>
      <w:r w:rsidRPr="004845CF">
        <w:rPr>
          <w:rFonts w:eastAsia="Times New Roman" w:cs="Times New Roman"/>
          <w:b/>
          <w:bCs/>
          <w:i w:val="0"/>
          <w:color w:val="auto"/>
          <w:sz w:val="18"/>
          <w:szCs w:val="18"/>
        </w:rPr>
        <w:t>Table 1.</w:t>
      </w:r>
      <w:r w:rsidRPr="004845CF">
        <w:rPr>
          <w:rFonts w:eastAsia="Times New Roman" w:cs="Times New Roman"/>
          <w:i w:val="0"/>
          <w:color w:val="auto"/>
          <w:sz w:val="18"/>
          <w:szCs w:val="18"/>
        </w:rPr>
        <w:t xml:space="preserve"> A. Legal framework that prohibits the development of windfarms in the Netherlands, Denmark and the three German Federal States. B. National policies that support the energy transition to renewable sources. C. </w:t>
      </w:r>
      <w:r w:rsidR="004845CF">
        <w:rPr>
          <w:rFonts w:eastAsia="Times New Roman" w:cs="Times New Roman"/>
          <w:i w:val="0"/>
          <w:color w:val="auto"/>
          <w:sz w:val="18"/>
          <w:szCs w:val="18"/>
        </w:rPr>
        <w:t>International and national legal framework to regulate construction</w:t>
      </w:r>
      <w:r w:rsidRPr="004845CF">
        <w:rPr>
          <w:rFonts w:eastAsia="Times New Roman" w:cs="Times New Roman"/>
          <w:i w:val="0"/>
          <w:color w:val="auto"/>
          <w:sz w:val="18"/>
          <w:szCs w:val="18"/>
        </w:rPr>
        <w:t>. Source QSR: Energy, 2017; Nomination Dossier, 2012</w:t>
      </w:r>
      <w:r w:rsidR="004845CF">
        <w:rPr>
          <w:rFonts w:eastAsia="Times New Roman" w:cs="Times New Roman"/>
          <w:i w:val="0"/>
          <w:color w:val="auto"/>
          <w:sz w:val="18"/>
          <w:szCs w:val="18"/>
        </w:rPr>
        <w:t xml:space="preserve"> and </w:t>
      </w:r>
      <w:r w:rsidR="004845CF" w:rsidRPr="00C94541">
        <w:rPr>
          <w:rFonts w:eastAsia="Times New Roman" w:cs="Times New Roman"/>
          <w:i w:val="0"/>
          <w:color w:val="auto"/>
          <w:sz w:val="18"/>
          <w:szCs w:val="18"/>
        </w:rPr>
        <w:t>update by partner organisations</w:t>
      </w:r>
      <w:r w:rsidRPr="00C94541">
        <w:rPr>
          <w:rFonts w:eastAsia="Times New Roman" w:cs="Times New Roman"/>
          <w:i w:val="0"/>
          <w:color w:val="auto"/>
          <w:sz w:val="18"/>
          <w:szCs w:val="18"/>
        </w:rPr>
        <w:t>.</w:t>
      </w:r>
    </w:p>
    <w:tbl>
      <w:tblPr>
        <w:tblStyle w:val="Gitternetztabelle5dunkelAkzent5"/>
        <w:tblW w:w="0" w:type="auto"/>
        <w:tblLayout w:type="fixed"/>
        <w:tblLook w:val="04A0" w:firstRow="1" w:lastRow="0" w:firstColumn="1" w:lastColumn="0" w:noHBand="0" w:noVBand="1"/>
      </w:tblPr>
      <w:tblGrid>
        <w:gridCol w:w="1996"/>
        <w:gridCol w:w="2223"/>
        <w:gridCol w:w="2552"/>
        <w:gridCol w:w="1984"/>
      </w:tblGrid>
      <w:tr w:rsidR="005E5ABA" w:rsidRPr="004845CF" w14:paraId="372637D0" w14:textId="77777777" w:rsidTr="009E70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6" w:type="dxa"/>
            <w:shd w:val="clear" w:color="auto" w:fill="auto"/>
          </w:tcPr>
          <w:p w14:paraId="1FA8E9B2" w14:textId="77777777" w:rsidR="005E5ABA" w:rsidRPr="004845CF" w:rsidRDefault="005E5ABA" w:rsidP="009E708F">
            <w:pPr>
              <w:tabs>
                <w:tab w:val="right" w:pos="9639"/>
              </w:tabs>
              <w:spacing w:line="276" w:lineRule="auto"/>
              <w:jc w:val="center"/>
              <w:rPr>
                <w:rFonts w:ascii="Arial" w:hAnsi="Arial" w:cs="Arial"/>
                <w:sz w:val="20"/>
                <w:szCs w:val="20"/>
              </w:rPr>
            </w:pPr>
          </w:p>
        </w:tc>
        <w:tc>
          <w:tcPr>
            <w:tcW w:w="2223" w:type="dxa"/>
          </w:tcPr>
          <w:p w14:paraId="2E1A1DB8" w14:textId="77777777" w:rsidR="005E5ABA" w:rsidRPr="004845CF" w:rsidRDefault="005E5ABA" w:rsidP="009E708F">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Legal framework to prohibit development of windfarms within the WS</w:t>
            </w:r>
          </w:p>
        </w:tc>
        <w:tc>
          <w:tcPr>
            <w:tcW w:w="2552" w:type="dxa"/>
          </w:tcPr>
          <w:p w14:paraId="3AF2DD55" w14:textId="77777777" w:rsidR="005E5ABA" w:rsidRPr="004845CF" w:rsidRDefault="005E5ABA" w:rsidP="009E708F">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Policy to promote renewable energy</w:t>
            </w:r>
          </w:p>
        </w:tc>
        <w:tc>
          <w:tcPr>
            <w:tcW w:w="1984" w:type="dxa"/>
          </w:tcPr>
          <w:p w14:paraId="1221D648" w14:textId="69255B54" w:rsidR="005E5ABA" w:rsidRPr="004845CF" w:rsidRDefault="005E5ABA" w:rsidP="009E708F">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 xml:space="preserve">International </w:t>
            </w:r>
            <w:r w:rsidR="004845CF" w:rsidRPr="004845CF">
              <w:rPr>
                <w:rFonts w:ascii="Arial" w:hAnsi="Arial" w:cs="Arial"/>
                <w:sz w:val="20"/>
                <w:szCs w:val="20"/>
              </w:rPr>
              <w:t xml:space="preserve">and national </w:t>
            </w:r>
            <w:r w:rsidRPr="004845CF">
              <w:rPr>
                <w:rFonts w:ascii="Arial" w:hAnsi="Arial" w:cs="Arial"/>
                <w:sz w:val="20"/>
                <w:szCs w:val="20"/>
              </w:rPr>
              <w:t>legal framework to regulate construction</w:t>
            </w:r>
          </w:p>
        </w:tc>
      </w:tr>
      <w:tr w:rsidR="005E5ABA" w:rsidRPr="004845CF" w14:paraId="3D48CDC1" w14:textId="77777777" w:rsidTr="009E7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6" w:type="dxa"/>
          </w:tcPr>
          <w:p w14:paraId="5037EE1E" w14:textId="77777777" w:rsidR="005E5ABA" w:rsidRPr="004845CF" w:rsidRDefault="005E5ABA" w:rsidP="009E708F">
            <w:pPr>
              <w:tabs>
                <w:tab w:val="right" w:pos="9639"/>
              </w:tabs>
              <w:spacing w:line="276" w:lineRule="auto"/>
              <w:rPr>
                <w:rFonts w:ascii="Arial" w:hAnsi="Arial" w:cs="Arial"/>
                <w:sz w:val="20"/>
                <w:szCs w:val="20"/>
              </w:rPr>
            </w:pPr>
            <w:r w:rsidRPr="004845CF">
              <w:rPr>
                <w:rFonts w:ascii="Arial" w:hAnsi="Arial" w:cs="Arial"/>
                <w:sz w:val="20"/>
                <w:szCs w:val="20"/>
              </w:rPr>
              <w:lastRenderedPageBreak/>
              <w:t xml:space="preserve">Wadden Sea World Heritage property in… </w:t>
            </w:r>
          </w:p>
        </w:tc>
        <w:tc>
          <w:tcPr>
            <w:tcW w:w="2223" w:type="dxa"/>
          </w:tcPr>
          <w:p w14:paraId="0CB6E0A6"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552" w:type="dxa"/>
          </w:tcPr>
          <w:p w14:paraId="5ED4FB6C"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1984" w:type="dxa"/>
          </w:tcPr>
          <w:p w14:paraId="2BBE4423"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5E5ABA" w:rsidRPr="004845CF" w14:paraId="0E0395D4" w14:textId="77777777" w:rsidTr="009E708F">
        <w:trPr>
          <w:trHeight w:val="558"/>
        </w:trPr>
        <w:tc>
          <w:tcPr>
            <w:cnfStyle w:val="001000000000" w:firstRow="0" w:lastRow="0" w:firstColumn="1" w:lastColumn="0" w:oddVBand="0" w:evenVBand="0" w:oddHBand="0" w:evenHBand="0" w:firstRowFirstColumn="0" w:firstRowLastColumn="0" w:lastRowFirstColumn="0" w:lastRowLastColumn="0"/>
            <w:tcW w:w="1996" w:type="dxa"/>
          </w:tcPr>
          <w:p w14:paraId="2D0A3331" w14:textId="77777777" w:rsidR="005E5ABA" w:rsidRPr="004845CF" w:rsidRDefault="005E5ABA" w:rsidP="009E708F">
            <w:pPr>
              <w:tabs>
                <w:tab w:val="right" w:pos="9639"/>
              </w:tabs>
              <w:spacing w:line="276" w:lineRule="auto"/>
              <w:jc w:val="right"/>
              <w:rPr>
                <w:rFonts w:ascii="Arial" w:hAnsi="Arial" w:cs="Arial"/>
                <w:sz w:val="20"/>
                <w:szCs w:val="20"/>
              </w:rPr>
            </w:pPr>
            <w:r w:rsidRPr="004845CF">
              <w:rPr>
                <w:rFonts w:ascii="Arial" w:hAnsi="Arial" w:cs="Arial"/>
                <w:sz w:val="20"/>
                <w:szCs w:val="20"/>
              </w:rPr>
              <w:t xml:space="preserve">…the Netherlands </w:t>
            </w:r>
          </w:p>
        </w:tc>
        <w:tc>
          <w:tcPr>
            <w:tcW w:w="2223" w:type="dxa"/>
          </w:tcPr>
          <w:p w14:paraId="7B5A9C9D" w14:textId="77777777" w:rsidR="005E5ABA" w:rsidRPr="004845CF" w:rsidRDefault="005E5ABA" w:rsidP="009E708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Dutch Conservation Area (PKB Area)</w:t>
            </w:r>
          </w:p>
        </w:tc>
        <w:tc>
          <w:tcPr>
            <w:tcW w:w="2552" w:type="dxa"/>
          </w:tcPr>
          <w:p w14:paraId="5E372D9E" w14:textId="77777777" w:rsidR="005E5ABA" w:rsidRPr="004845CF"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Energy Agreement for Sustainable Growth</w:t>
            </w:r>
          </w:p>
          <w:p w14:paraId="404C5ECC" w14:textId="1997CA7F" w:rsidR="00527E24" w:rsidRPr="004845CF" w:rsidRDefault="00527E24"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National Government Vision Wind At Sea</w:t>
            </w:r>
          </w:p>
          <w:p w14:paraId="239D77CD" w14:textId="77777777" w:rsidR="005E5ABA" w:rsidRPr="004845CF" w:rsidRDefault="00527E24"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 xml:space="preserve">Roadmap Wind Energy at Sea 2023 </w:t>
            </w:r>
          </w:p>
          <w:p w14:paraId="05DDE689" w14:textId="1E01EA0B" w:rsidR="00527E24" w:rsidRPr="004845CF" w:rsidRDefault="00527E24"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National Environmental Vision</w:t>
            </w:r>
          </w:p>
        </w:tc>
        <w:tc>
          <w:tcPr>
            <w:tcW w:w="1984" w:type="dxa"/>
          </w:tcPr>
          <w:p w14:paraId="2CE1CAF8" w14:textId="77777777" w:rsidR="005E5ABA" w:rsidRPr="00C94541"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94541">
              <w:rPr>
                <w:rFonts w:ascii="Arial" w:hAnsi="Arial" w:cs="Arial"/>
                <w:sz w:val="20"/>
                <w:szCs w:val="20"/>
              </w:rPr>
              <w:t>Habitats Directive ++</w:t>
            </w:r>
          </w:p>
          <w:p w14:paraId="519A3CBD" w14:textId="77777777" w:rsidR="005E5ABA" w:rsidRPr="00C94541"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ins w:id="2" w:author="Jaarsma, K.C.A. (Karst)" w:date="2020-07-23T16:40:00Z"/>
                <w:rFonts w:ascii="Arial" w:hAnsi="Arial" w:cs="Arial"/>
                <w:sz w:val="20"/>
                <w:szCs w:val="20"/>
              </w:rPr>
            </w:pPr>
            <w:r w:rsidRPr="00C94541">
              <w:rPr>
                <w:rFonts w:ascii="Arial" w:hAnsi="Arial" w:cs="Arial"/>
                <w:sz w:val="20"/>
                <w:szCs w:val="20"/>
              </w:rPr>
              <w:t>EIA Directive</w:t>
            </w:r>
          </w:p>
          <w:p w14:paraId="7AB23AD8" w14:textId="77777777" w:rsidR="00527E24" w:rsidRPr="00C94541" w:rsidRDefault="00527E24"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94541">
              <w:rPr>
                <w:rFonts w:ascii="Arial" w:hAnsi="Arial" w:cs="Arial"/>
                <w:sz w:val="20"/>
                <w:szCs w:val="20"/>
              </w:rPr>
              <w:t>Wind Energy at Sea Law</w:t>
            </w:r>
          </w:p>
          <w:p w14:paraId="6D346495" w14:textId="6F4039C8" w:rsidR="00527E24" w:rsidRPr="00C94541" w:rsidRDefault="00527E24"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C94541">
              <w:rPr>
                <w:rFonts w:ascii="Arial" w:hAnsi="Arial" w:cs="Arial"/>
                <w:sz w:val="20"/>
                <w:szCs w:val="20"/>
              </w:rPr>
              <w:t>Electricity</w:t>
            </w:r>
            <w:r w:rsidR="00CA6B84" w:rsidRPr="00C94541">
              <w:rPr>
                <w:rFonts w:ascii="Arial" w:hAnsi="Arial" w:cs="Arial"/>
                <w:sz w:val="20"/>
                <w:szCs w:val="20"/>
              </w:rPr>
              <w:t xml:space="preserve"> </w:t>
            </w:r>
            <w:r w:rsidRPr="00C94541">
              <w:rPr>
                <w:rFonts w:ascii="Arial" w:hAnsi="Arial" w:cs="Arial"/>
                <w:sz w:val="20"/>
                <w:szCs w:val="20"/>
              </w:rPr>
              <w:t>law</w:t>
            </w:r>
          </w:p>
        </w:tc>
      </w:tr>
      <w:tr w:rsidR="005E5ABA" w:rsidRPr="004845CF" w14:paraId="2A78A9CF" w14:textId="77777777" w:rsidTr="009E7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6" w:type="dxa"/>
          </w:tcPr>
          <w:p w14:paraId="3A97967F" w14:textId="77777777" w:rsidR="005E5ABA" w:rsidRPr="004845CF" w:rsidRDefault="005E5ABA" w:rsidP="009E708F">
            <w:pPr>
              <w:tabs>
                <w:tab w:val="right" w:pos="9639"/>
              </w:tabs>
              <w:spacing w:line="276" w:lineRule="auto"/>
              <w:jc w:val="right"/>
              <w:rPr>
                <w:rFonts w:ascii="Arial" w:hAnsi="Arial" w:cs="Arial"/>
                <w:sz w:val="20"/>
                <w:szCs w:val="20"/>
              </w:rPr>
            </w:pPr>
            <w:r w:rsidRPr="004845CF">
              <w:rPr>
                <w:rFonts w:ascii="Arial" w:hAnsi="Arial" w:cs="Arial"/>
                <w:sz w:val="20"/>
                <w:szCs w:val="20"/>
              </w:rPr>
              <w:t>Germany</w:t>
            </w:r>
          </w:p>
        </w:tc>
        <w:tc>
          <w:tcPr>
            <w:tcW w:w="2223" w:type="dxa"/>
          </w:tcPr>
          <w:p w14:paraId="64754D9E" w14:textId="77777777" w:rsidR="005E5ABA" w:rsidRPr="004845CF" w:rsidRDefault="005E5ABA" w:rsidP="009E708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552" w:type="dxa"/>
          </w:tcPr>
          <w:p w14:paraId="032F8B2E"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Renewable Energy Sources Act (RES-Act)</w:t>
            </w:r>
          </w:p>
        </w:tc>
        <w:tc>
          <w:tcPr>
            <w:tcW w:w="1984" w:type="dxa"/>
          </w:tcPr>
          <w:p w14:paraId="495D087E"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Habitats Directive ++</w:t>
            </w:r>
          </w:p>
          <w:p w14:paraId="51FB22F3" w14:textId="615333CF"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EIA directive (federal and Länder)</w:t>
            </w:r>
          </w:p>
        </w:tc>
      </w:tr>
      <w:tr w:rsidR="005E5ABA" w:rsidRPr="004845CF" w14:paraId="6ABB7853" w14:textId="77777777" w:rsidTr="009E708F">
        <w:tc>
          <w:tcPr>
            <w:cnfStyle w:val="001000000000" w:firstRow="0" w:lastRow="0" w:firstColumn="1" w:lastColumn="0" w:oddVBand="0" w:evenVBand="0" w:oddHBand="0" w:evenHBand="0" w:firstRowFirstColumn="0" w:firstRowLastColumn="0" w:lastRowFirstColumn="0" w:lastRowLastColumn="0"/>
            <w:tcW w:w="1996" w:type="dxa"/>
          </w:tcPr>
          <w:p w14:paraId="72173965" w14:textId="77777777" w:rsidR="005E5ABA" w:rsidRPr="004845CF" w:rsidRDefault="005E5ABA" w:rsidP="009E708F">
            <w:pPr>
              <w:tabs>
                <w:tab w:val="right" w:pos="9639"/>
              </w:tabs>
              <w:spacing w:line="276" w:lineRule="auto"/>
              <w:jc w:val="right"/>
              <w:rPr>
                <w:rFonts w:ascii="Arial" w:hAnsi="Arial" w:cs="Arial"/>
                <w:sz w:val="20"/>
                <w:szCs w:val="20"/>
              </w:rPr>
            </w:pPr>
            <w:r w:rsidRPr="004845CF">
              <w:rPr>
                <w:rFonts w:ascii="Arial" w:hAnsi="Arial" w:cs="Arial"/>
                <w:sz w:val="20"/>
                <w:szCs w:val="20"/>
              </w:rPr>
              <w:t>Lower Saxony</w:t>
            </w:r>
          </w:p>
        </w:tc>
        <w:tc>
          <w:tcPr>
            <w:tcW w:w="2223" w:type="dxa"/>
          </w:tcPr>
          <w:p w14:paraId="0001D7AC" w14:textId="77777777" w:rsidR="005E5ABA" w:rsidRPr="004845CF"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National Park Act</w:t>
            </w:r>
          </w:p>
        </w:tc>
        <w:tc>
          <w:tcPr>
            <w:tcW w:w="2552" w:type="dxa"/>
          </w:tcPr>
          <w:p w14:paraId="61BB9E40" w14:textId="77777777" w:rsidR="005E5ABA" w:rsidRPr="004845CF"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1984" w:type="dxa"/>
          </w:tcPr>
          <w:p w14:paraId="75B2E300" w14:textId="77777777" w:rsidR="005E5ABA" w:rsidRPr="004845CF"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r w:rsidR="005E5ABA" w:rsidRPr="004845CF" w14:paraId="5D0DFA59" w14:textId="77777777" w:rsidTr="009E7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6" w:type="dxa"/>
          </w:tcPr>
          <w:p w14:paraId="3503F5C6" w14:textId="77777777" w:rsidR="005E5ABA" w:rsidRPr="004845CF" w:rsidRDefault="005E5ABA" w:rsidP="009E708F">
            <w:pPr>
              <w:tabs>
                <w:tab w:val="right" w:pos="9639"/>
              </w:tabs>
              <w:spacing w:line="276" w:lineRule="auto"/>
              <w:jc w:val="right"/>
              <w:rPr>
                <w:rFonts w:ascii="Arial" w:hAnsi="Arial" w:cs="Arial"/>
                <w:sz w:val="20"/>
                <w:szCs w:val="20"/>
              </w:rPr>
            </w:pPr>
            <w:r w:rsidRPr="004845CF">
              <w:rPr>
                <w:rFonts w:ascii="Arial" w:hAnsi="Arial" w:cs="Arial"/>
                <w:sz w:val="20"/>
                <w:szCs w:val="20"/>
              </w:rPr>
              <w:t>Hamburg</w:t>
            </w:r>
          </w:p>
        </w:tc>
        <w:tc>
          <w:tcPr>
            <w:tcW w:w="2223" w:type="dxa"/>
          </w:tcPr>
          <w:p w14:paraId="73F87CCD"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National Park Act</w:t>
            </w:r>
          </w:p>
        </w:tc>
        <w:tc>
          <w:tcPr>
            <w:tcW w:w="2552" w:type="dxa"/>
          </w:tcPr>
          <w:p w14:paraId="1ED8B671"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1984" w:type="dxa"/>
          </w:tcPr>
          <w:p w14:paraId="7ADBCB2A"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5E5ABA" w:rsidRPr="004845CF" w14:paraId="73E8EF25" w14:textId="77777777" w:rsidTr="009E708F">
        <w:tc>
          <w:tcPr>
            <w:cnfStyle w:val="001000000000" w:firstRow="0" w:lastRow="0" w:firstColumn="1" w:lastColumn="0" w:oddVBand="0" w:evenVBand="0" w:oddHBand="0" w:evenHBand="0" w:firstRowFirstColumn="0" w:firstRowLastColumn="0" w:lastRowFirstColumn="0" w:lastRowLastColumn="0"/>
            <w:tcW w:w="1996" w:type="dxa"/>
          </w:tcPr>
          <w:p w14:paraId="7C4A1E57" w14:textId="77777777" w:rsidR="005E5ABA" w:rsidRPr="004845CF" w:rsidRDefault="005E5ABA" w:rsidP="009E708F">
            <w:pPr>
              <w:tabs>
                <w:tab w:val="right" w:pos="9639"/>
              </w:tabs>
              <w:spacing w:line="276" w:lineRule="auto"/>
              <w:jc w:val="right"/>
              <w:rPr>
                <w:rFonts w:ascii="Arial" w:hAnsi="Arial" w:cs="Arial"/>
                <w:sz w:val="20"/>
                <w:szCs w:val="20"/>
              </w:rPr>
            </w:pPr>
            <w:r w:rsidRPr="004845CF">
              <w:rPr>
                <w:rFonts w:ascii="Arial" w:hAnsi="Arial" w:cs="Arial"/>
                <w:sz w:val="20"/>
                <w:szCs w:val="20"/>
              </w:rPr>
              <w:t>Schleswig-Holstein</w:t>
            </w:r>
          </w:p>
        </w:tc>
        <w:tc>
          <w:tcPr>
            <w:tcW w:w="2223" w:type="dxa"/>
          </w:tcPr>
          <w:p w14:paraId="427AF308" w14:textId="77777777" w:rsidR="005E5ABA" w:rsidRPr="004845CF"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845CF">
              <w:rPr>
                <w:rFonts w:ascii="Arial" w:hAnsi="Arial" w:cs="Arial"/>
                <w:sz w:val="20"/>
                <w:szCs w:val="20"/>
              </w:rPr>
              <w:t>National Park Act</w:t>
            </w:r>
          </w:p>
        </w:tc>
        <w:tc>
          <w:tcPr>
            <w:tcW w:w="2552" w:type="dxa"/>
          </w:tcPr>
          <w:p w14:paraId="01CA4477" w14:textId="77777777" w:rsidR="005E5ABA" w:rsidRPr="004845CF"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1984" w:type="dxa"/>
          </w:tcPr>
          <w:p w14:paraId="47B13271" w14:textId="437A573A" w:rsidR="005E5ABA" w:rsidRPr="004845CF" w:rsidRDefault="005E5ABA" w:rsidP="009E708F">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r w:rsidR="005E5ABA" w:rsidRPr="004845CF" w14:paraId="4F226037" w14:textId="77777777" w:rsidTr="009E70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6" w:type="dxa"/>
          </w:tcPr>
          <w:p w14:paraId="4A2B43F8" w14:textId="77777777" w:rsidR="005E5ABA" w:rsidRPr="004845CF" w:rsidRDefault="005E5ABA" w:rsidP="009E708F">
            <w:pPr>
              <w:tabs>
                <w:tab w:val="right" w:pos="9639"/>
              </w:tabs>
              <w:spacing w:line="276" w:lineRule="auto"/>
              <w:jc w:val="right"/>
              <w:rPr>
                <w:rFonts w:ascii="Arial" w:hAnsi="Arial" w:cs="Arial"/>
                <w:sz w:val="20"/>
                <w:szCs w:val="20"/>
              </w:rPr>
            </w:pPr>
            <w:r w:rsidRPr="004845CF">
              <w:rPr>
                <w:rFonts w:ascii="Arial" w:hAnsi="Arial" w:cs="Arial"/>
                <w:sz w:val="20"/>
                <w:szCs w:val="20"/>
              </w:rPr>
              <w:t>Denmark</w:t>
            </w:r>
          </w:p>
        </w:tc>
        <w:tc>
          <w:tcPr>
            <w:tcW w:w="2223" w:type="dxa"/>
          </w:tcPr>
          <w:p w14:paraId="78DB5FBA"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Danish Statutory Order</w:t>
            </w:r>
          </w:p>
        </w:tc>
        <w:tc>
          <w:tcPr>
            <w:tcW w:w="2552" w:type="dxa"/>
          </w:tcPr>
          <w:p w14:paraId="12F44C39"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Energy Act</w:t>
            </w:r>
          </w:p>
          <w:p w14:paraId="411CDEAE"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National Energy and Climate Plan (NECP)*</w:t>
            </w:r>
          </w:p>
        </w:tc>
        <w:tc>
          <w:tcPr>
            <w:tcW w:w="1984" w:type="dxa"/>
          </w:tcPr>
          <w:p w14:paraId="0B9786FD" w14:textId="77777777" w:rsidR="005E5ABA" w:rsidRPr="004845CF" w:rsidRDefault="005E5ABA" w:rsidP="009E708F">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845CF">
              <w:rPr>
                <w:rFonts w:ascii="Arial" w:hAnsi="Arial" w:cs="Arial"/>
                <w:sz w:val="20"/>
                <w:szCs w:val="20"/>
              </w:rPr>
              <w:t>Habitats Directive ++</w:t>
            </w:r>
          </w:p>
        </w:tc>
      </w:tr>
    </w:tbl>
    <w:p w14:paraId="74D202AE" w14:textId="77777777" w:rsidR="005E5ABA" w:rsidRPr="004845CF" w:rsidRDefault="005E5ABA" w:rsidP="005E5ABA">
      <w:pPr>
        <w:spacing w:line="276" w:lineRule="auto"/>
        <w:rPr>
          <w:rFonts w:ascii="Georgia" w:hAnsi="Georgia"/>
          <w:sz w:val="18"/>
          <w:szCs w:val="18"/>
        </w:rPr>
      </w:pPr>
      <w:r w:rsidRPr="004845CF">
        <w:rPr>
          <w:rFonts w:ascii="Georgia" w:hAnsi="Georgia"/>
          <w:sz w:val="18"/>
          <w:szCs w:val="18"/>
        </w:rPr>
        <w:t xml:space="preserve">* To meet the EU’s energy and climate targets for 2030, EU Member States need to establish a 10-year integrated national energy and climate plan (NECP) for the period from 2021 to 2030. Introduced under the </w:t>
      </w:r>
      <w:hyperlink r:id="rId8" w:anchor="content-heading-2" w:history="1">
        <w:r w:rsidRPr="004845CF">
          <w:rPr>
            <w:rStyle w:val="Hyperlink"/>
            <w:rFonts w:ascii="Georgia" w:hAnsi="Georgia"/>
            <w:sz w:val="18"/>
            <w:szCs w:val="18"/>
          </w:rPr>
          <w:t>Regulation on the governance of the energy union and climate action (EU/2018/1999)</w:t>
        </w:r>
        <w:r w:rsidRPr="004845CF">
          <w:rPr>
            <w:rFonts w:ascii="Georgia" w:hAnsi="Georgia"/>
            <w:sz w:val="18"/>
            <w:szCs w:val="18"/>
          </w:rPr>
          <w:t>,</w:t>
        </w:r>
      </w:hyperlink>
      <w:r w:rsidRPr="004845CF">
        <w:rPr>
          <w:rFonts w:ascii="Georgia" w:hAnsi="Georgia"/>
          <w:sz w:val="18"/>
          <w:szCs w:val="18"/>
        </w:rPr>
        <w:t xml:space="preserve"> the rules requires the final NECP to be submitted to the Commission by the end of 2019 (</w:t>
      </w:r>
      <w:hyperlink r:id="rId9" w:history="1">
        <w:r w:rsidRPr="004845CF">
          <w:rPr>
            <w:rStyle w:val="Hyperlink"/>
            <w:rFonts w:ascii="Georgia" w:hAnsi="Georgia"/>
            <w:sz w:val="18"/>
            <w:szCs w:val="18"/>
          </w:rPr>
          <w:t>ec.europa.eu/energy</w:t>
        </w:r>
      </w:hyperlink>
      <w:r w:rsidRPr="004845CF">
        <w:rPr>
          <w:rFonts w:ascii="Georgia" w:hAnsi="Georgia"/>
          <w:sz w:val="18"/>
          <w:szCs w:val="18"/>
        </w:rPr>
        <w:t>).</w:t>
      </w:r>
    </w:p>
    <w:p w14:paraId="37BDD236" w14:textId="77777777" w:rsidR="005E5ABA" w:rsidRPr="004845CF" w:rsidRDefault="005E5ABA" w:rsidP="005E5ABA">
      <w:pPr>
        <w:spacing w:line="276" w:lineRule="auto"/>
        <w:rPr>
          <w:rFonts w:ascii="Georgia" w:hAnsi="Georgia"/>
          <w:sz w:val="18"/>
          <w:szCs w:val="18"/>
        </w:rPr>
      </w:pPr>
      <w:r w:rsidRPr="004845CF">
        <w:rPr>
          <w:rFonts w:ascii="Georgia" w:hAnsi="Georgia"/>
          <w:sz w:val="18"/>
          <w:szCs w:val="18"/>
        </w:rPr>
        <w:t>++ Habitat Directive for assessment and permission for construction of corridors for laying power cables across the area.</w:t>
      </w:r>
    </w:p>
    <w:p w14:paraId="26D04983" w14:textId="41D2C57D" w:rsidR="005E5ABA" w:rsidRDefault="005E5ABA" w:rsidP="001A4598">
      <w:pPr>
        <w:spacing w:line="276" w:lineRule="auto"/>
        <w:rPr>
          <w:rFonts w:ascii="Georgia" w:hAnsi="Georgia"/>
          <w:sz w:val="16"/>
          <w:szCs w:val="16"/>
        </w:rPr>
      </w:pPr>
    </w:p>
    <w:p w14:paraId="4DEF171D" w14:textId="1E43B1E5" w:rsidR="005E5ABA" w:rsidRDefault="005E5ABA" w:rsidP="001A4598">
      <w:pPr>
        <w:spacing w:line="276" w:lineRule="auto"/>
        <w:rPr>
          <w:rFonts w:ascii="Georgia" w:hAnsi="Georgia"/>
          <w:sz w:val="16"/>
          <w:szCs w:val="16"/>
        </w:rPr>
      </w:pPr>
    </w:p>
    <w:p w14:paraId="1B0901BE" w14:textId="142E013F" w:rsidR="005E5ABA" w:rsidRDefault="005E5ABA" w:rsidP="001A4598">
      <w:pPr>
        <w:spacing w:line="276" w:lineRule="auto"/>
        <w:rPr>
          <w:rFonts w:ascii="Georgia" w:hAnsi="Georgia"/>
          <w:sz w:val="16"/>
          <w:szCs w:val="16"/>
        </w:rPr>
        <w:sectPr w:rsidR="005E5ABA" w:rsidSect="009148DD">
          <w:headerReference w:type="default" r:id="rId10"/>
          <w:footerReference w:type="default" r:id="rId11"/>
          <w:footerReference w:type="first" r:id="rId12"/>
          <w:pgSz w:w="11907" w:h="16840" w:code="9"/>
          <w:pgMar w:top="1440" w:right="1134" w:bottom="1440" w:left="1134" w:header="709" w:footer="709" w:gutter="0"/>
          <w:cols w:space="708"/>
          <w:titlePg/>
          <w:docGrid w:linePitch="360"/>
        </w:sectPr>
      </w:pPr>
    </w:p>
    <w:p w14:paraId="59D45230" w14:textId="568EB228" w:rsidR="007E0805" w:rsidRDefault="007E0805" w:rsidP="001A4598">
      <w:pPr>
        <w:spacing w:line="276" w:lineRule="auto"/>
        <w:rPr>
          <w:rFonts w:ascii="Georgia" w:hAnsi="Georgia"/>
          <w:sz w:val="16"/>
          <w:szCs w:val="16"/>
        </w:rPr>
      </w:pPr>
      <w:r>
        <w:rPr>
          <w:rFonts w:ascii="Georgia" w:hAnsi="Georgia"/>
          <w:noProof/>
          <w:sz w:val="16"/>
          <w:szCs w:val="16"/>
          <w:lang w:val="de-DE" w:eastAsia="de-DE"/>
        </w:rPr>
        <w:lastRenderedPageBreak/>
        <w:drawing>
          <wp:anchor distT="0" distB="0" distL="114300" distR="114300" simplePos="0" relativeHeight="251665408" behindDoc="0" locked="0" layoutInCell="1" allowOverlap="1" wp14:anchorId="3F4DE0E2" wp14:editId="779E57E8">
            <wp:simplePos x="0" y="0"/>
            <wp:positionH relativeFrom="column">
              <wp:posOffset>-790574</wp:posOffset>
            </wp:positionH>
            <wp:positionV relativeFrom="paragraph">
              <wp:posOffset>-591502</wp:posOffset>
            </wp:positionV>
            <wp:extent cx="8891588" cy="7134192"/>
            <wp:effectExtent l="0" t="0" r="5080" b="0"/>
            <wp:wrapNone/>
            <wp:docPr id="1" name="Grafik 1"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p_of_the_offshore_wind_power_farms_in_the_German_Bight.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902081" cy="7142611"/>
                    </a:xfrm>
                    <a:prstGeom prst="rect">
                      <a:avLst/>
                    </a:prstGeom>
                  </pic:spPr>
                </pic:pic>
              </a:graphicData>
            </a:graphic>
            <wp14:sizeRelH relativeFrom="margin">
              <wp14:pctWidth>0</wp14:pctWidth>
            </wp14:sizeRelH>
            <wp14:sizeRelV relativeFrom="margin">
              <wp14:pctHeight>0</wp14:pctHeight>
            </wp14:sizeRelV>
          </wp:anchor>
        </w:drawing>
      </w:r>
    </w:p>
    <w:p w14:paraId="605DDCE9" w14:textId="54CFE1E4" w:rsidR="000451B3" w:rsidRPr="00365C52" w:rsidRDefault="000451B3" w:rsidP="001A4598">
      <w:pPr>
        <w:spacing w:line="276" w:lineRule="auto"/>
        <w:rPr>
          <w:rFonts w:ascii="Georgia" w:hAnsi="Georgia"/>
          <w:sz w:val="16"/>
          <w:szCs w:val="16"/>
        </w:rPr>
      </w:pPr>
    </w:p>
    <w:p w14:paraId="7413D9F4" w14:textId="1EFED6EE" w:rsidR="001A4598" w:rsidRDefault="001A4598" w:rsidP="004F46FF">
      <w:pPr>
        <w:autoSpaceDE w:val="0"/>
        <w:autoSpaceDN w:val="0"/>
        <w:adjustRightInd w:val="0"/>
        <w:rPr>
          <w:rFonts w:ascii="Georgia" w:eastAsiaTheme="minorHAnsi" w:hAnsi="Georgia" w:cs="RotisSansSerif"/>
          <w:i/>
          <w:iCs/>
          <w:sz w:val="20"/>
          <w:szCs w:val="20"/>
          <w:u w:val="single"/>
        </w:rPr>
      </w:pPr>
    </w:p>
    <w:p w14:paraId="05764DF7" w14:textId="3B5589DD" w:rsidR="001A4598" w:rsidRDefault="007E0805" w:rsidP="004F46FF">
      <w:pPr>
        <w:autoSpaceDE w:val="0"/>
        <w:autoSpaceDN w:val="0"/>
        <w:adjustRightInd w:val="0"/>
        <w:rPr>
          <w:rFonts w:ascii="Georgia" w:eastAsiaTheme="minorHAnsi" w:hAnsi="Georgia" w:cs="RotisSansSerif"/>
          <w:i/>
          <w:iCs/>
          <w:sz w:val="20"/>
          <w:szCs w:val="20"/>
          <w:u w:val="single"/>
        </w:rPr>
      </w:pPr>
      <w:r w:rsidRPr="007E0805">
        <w:rPr>
          <w:rFonts w:ascii="Georgia" w:hAnsi="Georgia"/>
          <w:noProof/>
          <w:sz w:val="16"/>
          <w:szCs w:val="16"/>
          <w:lang w:val="de-DE" w:eastAsia="de-DE"/>
        </w:rPr>
        <mc:AlternateContent>
          <mc:Choice Requires="wps">
            <w:drawing>
              <wp:anchor distT="45720" distB="45720" distL="114300" distR="114300" simplePos="0" relativeHeight="251667456" behindDoc="0" locked="0" layoutInCell="1" allowOverlap="1" wp14:anchorId="02B90519" wp14:editId="262DD780">
                <wp:simplePos x="0" y="0"/>
                <wp:positionH relativeFrom="column">
                  <wp:posOffset>8153400</wp:posOffset>
                </wp:positionH>
                <wp:positionV relativeFrom="paragraph">
                  <wp:posOffset>3328035</wp:posOffset>
                </wp:positionV>
                <wp:extent cx="1560830" cy="2897505"/>
                <wp:effectExtent l="0" t="0" r="127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0830" cy="2897505"/>
                        </a:xfrm>
                        <a:prstGeom prst="rect">
                          <a:avLst/>
                        </a:prstGeom>
                        <a:solidFill>
                          <a:srgbClr val="FFFFFF"/>
                        </a:solidFill>
                        <a:ln w="9525">
                          <a:noFill/>
                          <a:miter lim="800000"/>
                          <a:headEnd/>
                          <a:tailEnd/>
                        </a:ln>
                      </wps:spPr>
                      <wps:txbx>
                        <w:txbxContent>
                          <w:p w14:paraId="43A8B169" w14:textId="41BF2012" w:rsidR="00E50051" w:rsidRDefault="00E50051">
                            <w:pPr>
                              <w:rPr>
                                <w:rFonts w:ascii="Georgia" w:hAnsi="Georgia"/>
                                <w:sz w:val="18"/>
                                <w:szCs w:val="18"/>
                              </w:rPr>
                            </w:pPr>
                            <w:r w:rsidRPr="007E0805">
                              <w:rPr>
                                <w:rFonts w:ascii="Georgia" w:hAnsi="Georgia"/>
                                <w:b/>
                                <w:bCs/>
                                <w:sz w:val="18"/>
                                <w:szCs w:val="18"/>
                              </w:rPr>
                              <w:t>Figure 1.</w:t>
                            </w:r>
                            <w:r>
                              <w:rPr>
                                <w:rFonts w:ascii="Georgia" w:hAnsi="Georgia"/>
                                <w:sz w:val="18"/>
                                <w:szCs w:val="18"/>
                              </w:rPr>
                              <w:t xml:space="preserve"> </w:t>
                            </w:r>
                            <w:r w:rsidRPr="007E0805">
                              <w:rPr>
                                <w:rFonts w:ascii="Georgia" w:hAnsi="Georgia"/>
                                <w:sz w:val="18"/>
                                <w:szCs w:val="18"/>
                              </w:rPr>
                              <w:t>Map of offshore wind farms and connecting power cables.</w:t>
                            </w:r>
                            <w:r>
                              <w:t xml:space="preserve"> </w:t>
                            </w:r>
                            <w:r w:rsidRPr="007E0805">
                              <w:rPr>
                                <w:rFonts w:ascii="Georgia" w:hAnsi="Georgia"/>
                                <w:sz w:val="18"/>
                                <w:szCs w:val="18"/>
                              </w:rPr>
                              <w:t xml:space="preserve">Source: </w:t>
                            </w:r>
                            <w:hyperlink r:id="rId14" w:history="1">
                              <w:r w:rsidRPr="007E0805">
                                <w:rPr>
                                  <w:rStyle w:val="Hyperlink"/>
                                  <w:rFonts w:ascii="Georgia" w:hAnsi="Georgia"/>
                                  <w:sz w:val="18"/>
                                  <w:szCs w:val="18"/>
                                </w:rPr>
                                <w:t>Wikimedia Commons</w:t>
                              </w:r>
                            </w:hyperlink>
                            <w:r w:rsidRPr="007E0805">
                              <w:rPr>
                                <w:rFonts w:ascii="Georgia" w:hAnsi="Georgia"/>
                                <w:sz w:val="18"/>
                                <w:szCs w:val="18"/>
                              </w:rPr>
                              <w:t>, Maximilian Dörrbecker (Chumwa) / CC BY-SA (</w:t>
                            </w:r>
                            <w:hyperlink r:id="rId15" w:history="1">
                              <w:r w:rsidRPr="006549FE">
                                <w:rPr>
                                  <w:rStyle w:val="Hyperlink"/>
                                  <w:rFonts w:ascii="Georgia" w:hAnsi="Georgia"/>
                                  <w:sz w:val="18"/>
                                  <w:szCs w:val="18"/>
                                </w:rPr>
                                <w:t>https://creativecommons.org/licenses/by-sa/2.0</w:t>
                              </w:r>
                            </w:hyperlink>
                            <w:r w:rsidRPr="007E0805">
                              <w:rPr>
                                <w:rFonts w:ascii="Georgia" w:hAnsi="Georgia"/>
                                <w:sz w:val="18"/>
                                <w:szCs w:val="18"/>
                              </w:rPr>
                              <w:t>)</w:t>
                            </w:r>
                            <w:r>
                              <w:rPr>
                                <w:rFonts w:ascii="Georgia" w:hAnsi="Georgia"/>
                                <w:sz w:val="18"/>
                                <w:szCs w:val="18"/>
                              </w:rPr>
                              <w:t>. Update from 21.01.2020</w:t>
                            </w:r>
                          </w:p>
                          <w:p w14:paraId="5C3E1B71" w14:textId="55AFB423" w:rsidR="00E50051" w:rsidRDefault="00E50051">
                            <w:pPr>
                              <w:rPr>
                                <w:rFonts w:ascii="Georgia" w:hAnsi="Georgia"/>
                                <w:sz w:val="18"/>
                                <w:szCs w:val="18"/>
                              </w:rPr>
                            </w:pPr>
                          </w:p>
                          <w:p w14:paraId="3A10DBF8" w14:textId="08668B63" w:rsidR="00E50051" w:rsidRPr="00C94541" w:rsidRDefault="00E50051" w:rsidP="00C94541">
                            <w:pPr>
                              <w:rPr>
                                <w:rFonts w:ascii="Georgia" w:hAnsi="Georgia"/>
                                <w:color w:val="808080" w:themeColor="background1" w:themeShade="80"/>
                                <w:sz w:val="18"/>
                                <w:szCs w:val="18"/>
                              </w:rPr>
                            </w:pPr>
                            <w:r w:rsidRPr="00C94541">
                              <w:rPr>
                                <w:rFonts w:ascii="Georgia" w:hAnsi="Georgia"/>
                                <w:color w:val="808080" w:themeColor="background1" w:themeShade="80"/>
                                <w:sz w:val="18"/>
                                <w:szCs w:val="18"/>
                              </w:rPr>
                              <w:t>[</w:t>
                            </w:r>
                            <w:r w:rsidR="00C94541">
                              <w:rPr>
                                <w:rFonts w:ascii="Georgia" w:hAnsi="Georgia"/>
                                <w:color w:val="808080" w:themeColor="background1" w:themeShade="80"/>
                                <w:sz w:val="18"/>
                                <w:szCs w:val="18"/>
                              </w:rPr>
                              <w:t>Note</w:t>
                            </w:r>
                            <w:r w:rsidRPr="00C94541">
                              <w:rPr>
                                <w:rFonts w:ascii="Georgia" w:hAnsi="Georgia"/>
                                <w:color w:val="808080" w:themeColor="background1" w:themeShade="80"/>
                                <w:sz w:val="18"/>
                                <w:szCs w:val="18"/>
                              </w:rPr>
                              <w:t xml:space="preserve">: </w:t>
                            </w:r>
                            <w:r w:rsidR="00C94541">
                              <w:rPr>
                                <w:rFonts w:ascii="Georgia" w:hAnsi="Georgia"/>
                                <w:color w:val="808080" w:themeColor="background1" w:themeShade="80"/>
                                <w:sz w:val="18"/>
                                <w:szCs w:val="18"/>
                              </w:rPr>
                              <w:t xml:space="preserve">this map will be updated by CWSS. </w:t>
                            </w:r>
                            <w:r w:rsidRPr="00C94541">
                              <w:rPr>
                                <w:rFonts w:ascii="Georgia" w:hAnsi="Georgia"/>
                                <w:color w:val="808080" w:themeColor="background1" w:themeShade="80"/>
                                <w:sz w:val="18"/>
                                <w:szCs w:val="18"/>
                              </w:rPr>
                              <w:t>Who takes and holds this georeferenced info per country? Can we establish formal contact with them to update GIS info? Ideally, we need the *.shp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B90519" id="_x0000_t202" coordsize="21600,21600" o:spt="202" path="m,l,21600r21600,l21600,xe">
                <v:stroke joinstyle="miter"/>
                <v:path gradientshapeok="t" o:connecttype="rect"/>
              </v:shapetype>
              <v:shape id="Textfeld 2" o:spid="_x0000_s1026" type="#_x0000_t202" style="position:absolute;margin-left:642pt;margin-top:262.05pt;width:122.9pt;height:228.1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" stroked="f">
                <v:textbox>
                  <w:txbxContent>
                    <w:p w14:paraId="43A8B169" w14:textId="41BF2012" w:rsidR="00E50051" w:rsidRDefault="00E50051">
                      <w:pPr>
                        <w:rPr>
                          <w:rFonts w:ascii="Georgia" w:hAnsi="Georgia"/>
                          <w:sz w:val="18"/>
                          <w:szCs w:val="18"/>
                        </w:rPr>
                      </w:pPr>
                      <w:r w:rsidRPr="007E0805">
                        <w:rPr>
                          <w:rFonts w:ascii="Georgia" w:hAnsi="Georgia"/>
                          <w:b/>
                          <w:bCs/>
                          <w:sz w:val="18"/>
                          <w:szCs w:val="18"/>
                        </w:rPr>
                        <w:t>Figure 1.</w:t>
                      </w:r>
                      <w:r>
                        <w:rPr>
                          <w:rFonts w:ascii="Georgia" w:hAnsi="Georgia"/>
                          <w:sz w:val="18"/>
                          <w:szCs w:val="18"/>
                        </w:rPr>
                        <w:t xml:space="preserve"> </w:t>
                      </w:r>
                      <w:r w:rsidRPr="007E0805">
                        <w:rPr>
                          <w:rFonts w:ascii="Georgia" w:hAnsi="Georgia"/>
                          <w:sz w:val="18"/>
                          <w:szCs w:val="18"/>
                        </w:rPr>
                        <w:t>Map of offshore wind farms and connecting power cables.</w:t>
                      </w:r>
                      <w:r>
                        <w:t xml:space="preserve"> </w:t>
                      </w:r>
                      <w:r w:rsidRPr="007E0805">
                        <w:rPr>
                          <w:rFonts w:ascii="Georgia" w:hAnsi="Georgia"/>
                          <w:sz w:val="18"/>
                          <w:szCs w:val="18"/>
                        </w:rPr>
                        <w:t xml:space="preserve">Source: </w:t>
                      </w:r>
                      <w:hyperlink r:id="rId16" w:history="1">
                        <w:r w:rsidRPr="007E0805">
                          <w:rPr>
                            <w:rStyle w:val="Hyperlink"/>
                            <w:rFonts w:ascii="Georgia" w:hAnsi="Georgia"/>
                            <w:sz w:val="18"/>
                            <w:szCs w:val="18"/>
                          </w:rPr>
                          <w:t>Wikimedia Commons</w:t>
                        </w:r>
                      </w:hyperlink>
                      <w:r w:rsidRPr="007E0805">
                        <w:rPr>
                          <w:rFonts w:ascii="Georgia" w:hAnsi="Georgia"/>
                          <w:sz w:val="18"/>
                          <w:szCs w:val="18"/>
                        </w:rPr>
                        <w:t xml:space="preserve">, Maximilian </w:t>
                      </w:r>
                      <w:proofErr w:type="spellStart"/>
                      <w:r w:rsidRPr="007E0805">
                        <w:rPr>
                          <w:rFonts w:ascii="Georgia" w:hAnsi="Georgia"/>
                          <w:sz w:val="18"/>
                          <w:szCs w:val="18"/>
                        </w:rPr>
                        <w:t>Dörrbecker</w:t>
                      </w:r>
                      <w:proofErr w:type="spellEnd"/>
                      <w:r w:rsidRPr="007E0805">
                        <w:rPr>
                          <w:rFonts w:ascii="Georgia" w:hAnsi="Georgia"/>
                          <w:sz w:val="18"/>
                          <w:szCs w:val="18"/>
                        </w:rPr>
                        <w:t xml:space="preserve"> (</w:t>
                      </w:r>
                      <w:proofErr w:type="spellStart"/>
                      <w:r w:rsidRPr="007E0805">
                        <w:rPr>
                          <w:rFonts w:ascii="Georgia" w:hAnsi="Georgia"/>
                          <w:sz w:val="18"/>
                          <w:szCs w:val="18"/>
                        </w:rPr>
                        <w:t>Chumwa</w:t>
                      </w:r>
                      <w:proofErr w:type="spellEnd"/>
                      <w:r w:rsidRPr="007E0805">
                        <w:rPr>
                          <w:rFonts w:ascii="Georgia" w:hAnsi="Georgia"/>
                          <w:sz w:val="18"/>
                          <w:szCs w:val="18"/>
                        </w:rPr>
                        <w:t>) / CC BY-SA (</w:t>
                      </w:r>
                      <w:hyperlink r:id="rId17" w:history="1">
                        <w:r w:rsidRPr="006549FE">
                          <w:rPr>
                            <w:rStyle w:val="Hyperlink"/>
                            <w:rFonts w:ascii="Georgia" w:hAnsi="Georgia"/>
                            <w:sz w:val="18"/>
                            <w:szCs w:val="18"/>
                          </w:rPr>
                          <w:t>https://creativecommons.org/licenses/by-sa/2.0</w:t>
                        </w:r>
                      </w:hyperlink>
                      <w:r w:rsidRPr="007E0805">
                        <w:rPr>
                          <w:rFonts w:ascii="Georgia" w:hAnsi="Georgia"/>
                          <w:sz w:val="18"/>
                          <w:szCs w:val="18"/>
                        </w:rPr>
                        <w:t>)</w:t>
                      </w:r>
                      <w:r>
                        <w:rPr>
                          <w:rFonts w:ascii="Georgia" w:hAnsi="Georgia"/>
                          <w:sz w:val="18"/>
                          <w:szCs w:val="18"/>
                        </w:rPr>
                        <w:t>. Update from 21.01.2020</w:t>
                      </w:r>
                    </w:p>
                    <w:p w14:paraId="5C3E1B71" w14:textId="55AFB423" w:rsidR="00E50051" w:rsidRDefault="00E50051">
                      <w:pPr>
                        <w:rPr>
                          <w:rFonts w:ascii="Georgia" w:hAnsi="Georgia"/>
                          <w:sz w:val="18"/>
                          <w:szCs w:val="18"/>
                        </w:rPr>
                      </w:pPr>
                    </w:p>
                    <w:p w14:paraId="3A10DBF8" w14:textId="08668B63" w:rsidR="00E50051" w:rsidRPr="00C94541" w:rsidRDefault="00E50051" w:rsidP="00C94541">
                      <w:pPr>
                        <w:rPr>
                          <w:rFonts w:ascii="Georgia" w:hAnsi="Georgia"/>
                          <w:color w:val="808080" w:themeColor="background1" w:themeShade="80"/>
                          <w:sz w:val="18"/>
                          <w:szCs w:val="18"/>
                        </w:rPr>
                      </w:pPr>
                      <w:r w:rsidRPr="00C94541">
                        <w:rPr>
                          <w:rFonts w:ascii="Georgia" w:hAnsi="Georgia"/>
                          <w:color w:val="808080" w:themeColor="background1" w:themeShade="80"/>
                          <w:sz w:val="18"/>
                          <w:szCs w:val="18"/>
                        </w:rPr>
                        <w:t>[</w:t>
                      </w:r>
                      <w:r w:rsidR="00C94541">
                        <w:rPr>
                          <w:rFonts w:ascii="Georgia" w:hAnsi="Georgia"/>
                          <w:color w:val="808080" w:themeColor="background1" w:themeShade="80"/>
                          <w:sz w:val="18"/>
                          <w:szCs w:val="18"/>
                        </w:rPr>
                        <w:t>Note</w:t>
                      </w:r>
                      <w:r w:rsidRPr="00C94541">
                        <w:rPr>
                          <w:rFonts w:ascii="Georgia" w:hAnsi="Georgia"/>
                          <w:color w:val="808080" w:themeColor="background1" w:themeShade="80"/>
                          <w:sz w:val="18"/>
                          <w:szCs w:val="18"/>
                        </w:rPr>
                        <w:t xml:space="preserve">: </w:t>
                      </w:r>
                      <w:r w:rsidR="00C94541">
                        <w:rPr>
                          <w:rFonts w:ascii="Georgia" w:hAnsi="Georgia"/>
                          <w:color w:val="808080" w:themeColor="background1" w:themeShade="80"/>
                          <w:sz w:val="18"/>
                          <w:szCs w:val="18"/>
                        </w:rPr>
                        <w:t xml:space="preserve">this map will be updated by CWSS. </w:t>
                      </w:r>
                      <w:r w:rsidRPr="00C94541">
                        <w:rPr>
                          <w:rFonts w:ascii="Georgia" w:hAnsi="Georgia"/>
                          <w:color w:val="808080" w:themeColor="background1" w:themeShade="80"/>
                          <w:sz w:val="18"/>
                          <w:szCs w:val="18"/>
                        </w:rPr>
                        <w:t>Who takes and holds this georeferenced info per country? Can we establish formal contact with them to update GIS info? Ideally, we need the *.</w:t>
                      </w:r>
                      <w:proofErr w:type="spellStart"/>
                      <w:r w:rsidRPr="00C94541">
                        <w:rPr>
                          <w:rFonts w:ascii="Georgia" w:hAnsi="Georgia"/>
                          <w:color w:val="808080" w:themeColor="background1" w:themeShade="80"/>
                          <w:sz w:val="18"/>
                          <w:szCs w:val="18"/>
                        </w:rPr>
                        <w:t>shp</w:t>
                      </w:r>
                      <w:proofErr w:type="spellEnd"/>
                      <w:r w:rsidRPr="00C94541">
                        <w:rPr>
                          <w:rFonts w:ascii="Georgia" w:hAnsi="Georgia"/>
                          <w:color w:val="808080" w:themeColor="background1" w:themeShade="80"/>
                          <w:sz w:val="18"/>
                          <w:szCs w:val="18"/>
                        </w:rPr>
                        <w:t xml:space="preserve"> files]</w:t>
                      </w:r>
                    </w:p>
                  </w:txbxContent>
                </v:textbox>
              </v:shape>
            </w:pict>
          </mc:Fallback>
        </mc:AlternateContent>
      </w:r>
    </w:p>
    <w:p w14:paraId="20EB56D5" w14:textId="77777777" w:rsidR="007E0805" w:rsidRDefault="007E0805" w:rsidP="004F46FF">
      <w:pPr>
        <w:autoSpaceDE w:val="0"/>
        <w:autoSpaceDN w:val="0"/>
        <w:adjustRightInd w:val="0"/>
        <w:rPr>
          <w:rFonts w:ascii="Georgia" w:eastAsiaTheme="minorHAnsi" w:hAnsi="Georgia" w:cs="RotisSansSerif"/>
          <w:i/>
          <w:iCs/>
          <w:sz w:val="20"/>
          <w:szCs w:val="20"/>
          <w:u w:val="single"/>
        </w:rPr>
        <w:sectPr w:rsidR="007E0805" w:rsidSect="007E0805">
          <w:pgSz w:w="16840" w:h="11907" w:orient="landscape" w:code="9"/>
          <w:pgMar w:top="1134" w:right="1440" w:bottom="1134" w:left="1440" w:header="709" w:footer="709" w:gutter="0"/>
          <w:cols w:space="708"/>
          <w:titlePg/>
          <w:docGrid w:linePitch="360"/>
        </w:sectPr>
      </w:pPr>
    </w:p>
    <w:p w14:paraId="02F3942A" w14:textId="3589D4E5" w:rsidR="00DE7678" w:rsidRPr="00E16942" w:rsidRDefault="00DE7678" w:rsidP="00E16942">
      <w:pPr>
        <w:pStyle w:val="2sub-sections"/>
        <w:numPr>
          <w:ilvl w:val="0"/>
          <w:numId w:val="24"/>
        </w:numPr>
        <w:ind w:left="0" w:firstLine="0"/>
      </w:pPr>
      <w:r w:rsidRPr="00E16942">
        <w:lastRenderedPageBreak/>
        <w:t>Policies in Germany (Federal and Länder)</w:t>
      </w:r>
      <w:r w:rsidR="00991639" w:rsidRPr="00E16942">
        <w:t>, The Netherlands,</w:t>
      </w:r>
      <w:r w:rsidR="00497F30" w:rsidRPr="00E16942">
        <w:t xml:space="preserve"> Denmark</w:t>
      </w:r>
    </w:p>
    <w:p w14:paraId="719F8FDD" w14:textId="484C7A2A" w:rsidR="000254CE" w:rsidRPr="00E16942" w:rsidRDefault="00AC3D0D" w:rsidP="00E16942">
      <w:pPr>
        <w:spacing w:after="170" w:line="340" w:lineRule="exact"/>
        <w:rPr>
          <w:rFonts w:ascii="Georgia" w:hAnsi="Georgia"/>
          <w:sz w:val="22"/>
          <w:szCs w:val="22"/>
        </w:rPr>
      </w:pPr>
      <w:bookmarkStart w:id="3" w:name="_Hlk46834961"/>
      <w:r w:rsidRPr="00E16942">
        <w:rPr>
          <w:rFonts w:ascii="Georgia" w:hAnsi="Georgia"/>
          <w:sz w:val="22"/>
          <w:szCs w:val="22"/>
        </w:rPr>
        <w:t xml:space="preserve">Wind energy generation has a very important role in Europe. </w:t>
      </w:r>
      <w:r w:rsidR="000254CE" w:rsidRPr="00E16942">
        <w:rPr>
          <w:rFonts w:ascii="Georgia" w:hAnsi="Georgia"/>
          <w:sz w:val="22"/>
          <w:szCs w:val="22"/>
        </w:rPr>
        <w:t>From a total of 3,018.5 MW provided in European waters, 86.1 % were in the North Sea, 9.2 % in the Baltic Sea, and 4.7 % in the Irish Sea (data from 2015</w:t>
      </w:r>
      <w:r w:rsidR="00127A4A" w:rsidRPr="00E16942">
        <w:rPr>
          <w:rFonts w:ascii="Georgia" w:hAnsi="Georgia"/>
          <w:sz w:val="22"/>
          <w:szCs w:val="22"/>
        </w:rPr>
        <w:t xml:space="preserve"> in</w:t>
      </w:r>
      <w:r w:rsidR="000254CE" w:rsidRPr="00E16942">
        <w:rPr>
          <w:rFonts w:ascii="Georgia" w:hAnsi="Georgia"/>
          <w:sz w:val="22"/>
          <w:szCs w:val="22"/>
        </w:rPr>
        <w:t xml:space="preserve"> QSR, 2017).</w:t>
      </w:r>
      <w:r w:rsidRPr="00E16942">
        <w:rPr>
          <w:rFonts w:ascii="Georgia" w:hAnsi="Georgia"/>
          <w:sz w:val="22"/>
          <w:szCs w:val="22"/>
        </w:rPr>
        <w:t xml:space="preserve"> The governments from the Netherlands, Germany and Denmark have plans to increase the generation of renewable energies to progressively lower fossil fuel use. Figure </w:t>
      </w:r>
      <w:r w:rsidR="00F55AD6" w:rsidRPr="00E16942">
        <w:rPr>
          <w:rFonts w:ascii="Georgia" w:hAnsi="Georgia"/>
          <w:sz w:val="22"/>
          <w:szCs w:val="22"/>
        </w:rPr>
        <w:t>1</w:t>
      </w:r>
      <w:r w:rsidRPr="00E16942">
        <w:rPr>
          <w:rFonts w:ascii="Georgia" w:hAnsi="Georgia"/>
          <w:sz w:val="22"/>
          <w:szCs w:val="22"/>
        </w:rPr>
        <w:t xml:space="preserve"> shows the planned increase in Megawatts production between 2020 and 2030 and the percentage that that production represents from the overall energy production.</w:t>
      </w:r>
    </w:p>
    <w:bookmarkEnd w:id="3"/>
    <w:p w14:paraId="199B49F8" w14:textId="7746D028" w:rsidR="00FB418E" w:rsidRDefault="00E50051" w:rsidP="00E7694D">
      <w:pPr>
        <w:spacing w:line="276" w:lineRule="auto"/>
        <w:rPr>
          <w:rFonts w:ascii="Georgia" w:hAnsi="Georgia"/>
          <w:sz w:val="20"/>
          <w:szCs w:val="20"/>
        </w:rPr>
      </w:pPr>
      <w:r>
        <w:rPr>
          <w:noProof/>
          <w:lang w:val="de-DE" w:eastAsia="de-DE"/>
        </w:rPr>
        <mc:AlternateContent>
          <mc:Choice Requires="wps">
            <w:drawing>
              <wp:anchor distT="0" distB="0" distL="114300" distR="114300" simplePos="0" relativeHeight="251664384" behindDoc="0" locked="0" layoutInCell="1" allowOverlap="1" wp14:anchorId="7940E97E" wp14:editId="499C44A5">
                <wp:simplePos x="0" y="0"/>
                <wp:positionH relativeFrom="column">
                  <wp:posOffset>3557930</wp:posOffset>
                </wp:positionH>
                <wp:positionV relativeFrom="paragraph">
                  <wp:posOffset>955268</wp:posOffset>
                </wp:positionV>
                <wp:extent cx="307238" cy="739165"/>
                <wp:effectExtent l="57150" t="38100" r="55245" b="80010"/>
                <wp:wrapNone/>
                <wp:docPr id="14" name="Gerade Verbindung mit Pfeil 14"/>
                <wp:cNvGraphicFramePr/>
                <a:graphic xmlns:a="http://schemas.openxmlformats.org/drawingml/2006/main">
                  <a:graphicData uri="http://schemas.microsoft.com/office/word/2010/wordprocessingShape">
                    <wps:wsp>
                      <wps:cNvCnPr/>
                      <wps:spPr>
                        <a:xfrm flipV="1">
                          <a:off x="0" y="0"/>
                          <a:ext cx="307238" cy="73916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472CE5F" id="_x0000_t32" coordsize="21600,21600" o:spt="32" o:oned="t" path="m,l21600,21600e" filled="f">
                <v:path arrowok="t" fillok="f" o:connecttype="none"/>
                <o:lock v:ext="edit" shapetype="t"/>
              </v:shapetype>
              <v:shape id="Gerade Verbindung mit Pfeil 14" o:spid="_x0000_s1026" type="#_x0000_t32" style="position:absolute;margin-left:280.15pt;margin-top:75.2pt;width:24.2pt;height:58.2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" strokecolor="#4f81bd [3204]" strokeweight="2pt">
                <v:stroke endarrow="block"/>
                <v:shadow on="t" color="black" opacity="24903f" origin=",.5" offset="0,.55556mm"/>
              </v:shape>
            </w:pict>
          </mc:Fallback>
        </mc:AlternateContent>
      </w:r>
      <w:r>
        <w:rPr>
          <w:noProof/>
          <w:lang w:val="de-DE" w:eastAsia="de-DE"/>
        </w:rPr>
        <mc:AlternateContent>
          <mc:Choice Requires="wps">
            <w:drawing>
              <wp:anchor distT="0" distB="0" distL="114300" distR="114300" simplePos="0" relativeHeight="251660800" behindDoc="0" locked="0" layoutInCell="1" allowOverlap="1" wp14:anchorId="3223D791" wp14:editId="0F4F9DF7">
                <wp:simplePos x="0" y="0"/>
                <wp:positionH relativeFrom="column">
                  <wp:posOffset>2314346</wp:posOffset>
                </wp:positionH>
                <wp:positionV relativeFrom="paragraph">
                  <wp:posOffset>1313712</wp:posOffset>
                </wp:positionV>
                <wp:extent cx="394488" cy="665201"/>
                <wp:effectExtent l="57150" t="38100" r="62865" b="78105"/>
                <wp:wrapNone/>
                <wp:docPr id="13" name="Gerade Verbindung mit Pfeil 13"/>
                <wp:cNvGraphicFramePr/>
                <a:graphic xmlns:a="http://schemas.openxmlformats.org/drawingml/2006/main">
                  <a:graphicData uri="http://schemas.microsoft.com/office/word/2010/wordprocessingShape">
                    <wps:wsp>
                      <wps:cNvCnPr/>
                      <wps:spPr>
                        <a:xfrm flipV="1">
                          <a:off x="0" y="0"/>
                          <a:ext cx="394488" cy="66520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F64AD3" id="Gerade Verbindung mit Pfeil 13" o:spid="_x0000_s1026" type="#_x0000_t32" style="position:absolute;margin-left:182.25pt;margin-top:103.45pt;width:31.05pt;height:52.4pt;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" strokecolor="#4f81bd [3204]" strokeweight="2pt">
                <v:stroke endarrow="block"/>
                <v:shadow on="t" color="black" opacity="24903f" origin=",.5" offset="0,.55556mm"/>
              </v:shape>
            </w:pict>
          </mc:Fallback>
        </mc:AlternateContent>
      </w:r>
      <w:r>
        <w:rPr>
          <w:noProof/>
          <w:lang w:val="de-DE" w:eastAsia="de-DE"/>
        </w:rPr>
        <mc:AlternateContent>
          <mc:Choice Requires="wps">
            <w:drawing>
              <wp:anchor distT="0" distB="0" distL="114300" distR="114300" simplePos="0" relativeHeight="251659776" behindDoc="0" locked="0" layoutInCell="1" allowOverlap="1" wp14:anchorId="097207F2" wp14:editId="42FD6D93">
                <wp:simplePos x="0" y="0"/>
                <wp:positionH relativeFrom="column">
                  <wp:posOffset>1083082</wp:posOffset>
                </wp:positionH>
                <wp:positionV relativeFrom="paragraph">
                  <wp:posOffset>671907</wp:posOffset>
                </wp:positionV>
                <wp:extent cx="416428" cy="871276"/>
                <wp:effectExtent l="57150" t="38100" r="60325" b="81280"/>
                <wp:wrapNone/>
                <wp:docPr id="12" name="Gerade Verbindung mit Pfeil 12"/>
                <wp:cNvGraphicFramePr/>
                <a:graphic xmlns:a="http://schemas.openxmlformats.org/drawingml/2006/main">
                  <a:graphicData uri="http://schemas.microsoft.com/office/word/2010/wordprocessingShape">
                    <wps:wsp>
                      <wps:cNvCnPr/>
                      <wps:spPr>
                        <a:xfrm flipV="1">
                          <a:off x="0" y="0"/>
                          <a:ext cx="416428" cy="871276"/>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C9A1E1" id="Gerade Verbindung mit Pfeil 12" o:spid="_x0000_s1026" type="#_x0000_t32" style="position:absolute;margin-left:85.3pt;margin-top:52.9pt;width:32.8pt;height:68.6p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" strokecolor="#4f81bd [3204]" strokeweight="2pt">
                <v:stroke endarrow="block"/>
                <v:shadow on="t" color="black" opacity="24903f" origin=",.5" offset="0,.55556mm"/>
              </v:shape>
            </w:pict>
          </mc:Fallback>
        </mc:AlternateContent>
      </w:r>
      <w:r w:rsidR="00CE78BE" w:rsidRPr="00CE78BE">
        <w:rPr>
          <w:noProof/>
        </w:rPr>
        <w:t xml:space="preserve"> </w:t>
      </w:r>
      <w:r>
        <w:rPr>
          <w:noProof/>
        </w:rPr>
        <w:drawing>
          <wp:inline distT="0" distB="0" distL="0" distR="0" wp14:anchorId="2855AD7E" wp14:editId="79ED8014">
            <wp:extent cx="4572000" cy="2743200"/>
            <wp:effectExtent l="0" t="0" r="0" b="0"/>
            <wp:docPr id="7" name="Diagramm 7">
              <a:extLst xmlns:a="http://schemas.openxmlformats.org/drawingml/2006/main">
                <a:ext uri="{FF2B5EF4-FFF2-40B4-BE49-F238E27FC236}">
                  <a16:creationId xmlns:a16="http://schemas.microsoft.com/office/drawing/2014/main" id="{D2F91BFC-6F7E-4470-A46D-8E1ACE9C36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419068D" w14:textId="73E1E7B3" w:rsidR="001968BF" w:rsidRPr="00E50051" w:rsidRDefault="00E7694D">
      <w:pPr>
        <w:spacing w:after="200" w:line="276" w:lineRule="auto"/>
        <w:rPr>
          <w:rFonts w:ascii="Georgia" w:hAnsi="Georgia"/>
          <w:sz w:val="18"/>
          <w:szCs w:val="18"/>
        </w:rPr>
      </w:pPr>
      <w:r w:rsidRPr="00E50051">
        <w:rPr>
          <w:rFonts w:ascii="Georgia" w:hAnsi="Georgia"/>
          <w:b/>
          <w:bCs/>
          <w:sz w:val="18"/>
          <w:szCs w:val="18"/>
        </w:rPr>
        <w:t xml:space="preserve">Figure </w:t>
      </w:r>
      <w:r w:rsidR="001A4598" w:rsidRPr="00E50051">
        <w:rPr>
          <w:rFonts w:ascii="Georgia" w:hAnsi="Georgia"/>
          <w:b/>
          <w:bCs/>
          <w:sz w:val="18"/>
          <w:szCs w:val="18"/>
        </w:rPr>
        <w:t>2</w:t>
      </w:r>
      <w:r w:rsidRPr="00E50051">
        <w:rPr>
          <w:rFonts w:ascii="Georgia" w:hAnsi="Georgia"/>
          <w:b/>
          <w:bCs/>
          <w:sz w:val="18"/>
          <w:szCs w:val="18"/>
        </w:rPr>
        <w:t>.</w:t>
      </w:r>
      <w:r w:rsidRPr="00E50051">
        <w:rPr>
          <w:rFonts w:ascii="Georgia" w:hAnsi="Georgia"/>
          <w:sz w:val="18"/>
          <w:szCs w:val="18"/>
        </w:rPr>
        <w:t xml:space="preserve"> </w:t>
      </w:r>
      <w:r w:rsidR="00FB418E" w:rsidRPr="00E50051">
        <w:rPr>
          <w:rFonts w:ascii="Georgia" w:hAnsi="Georgia"/>
          <w:sz w:val="18"/>
          <w:szCs w:val="18"/>
        </w:rPr>
        <w:t xml:space="preserve">Plans to increase the renewable energy production in the three countries measured in Megawatts. In Germany by 2025 it is expected that 40-45% of all generated energy comes from renewable sources, and in 2035, 55-60%. In the Netherlands it is planned to increase from 14% in 2020 to </w:t>
      </w:r>
      <w:r w:rsidR="00CE78BE" w:rsidRPr="00E50051">
        <w:rPr>
          <w:rFonts w:ascii="Georgia" w:hAnsi="Georgia"/>
          <w:sz w:val="18"/>
          <w:szCs w:val="18"/>
        </w:rPr>
        <w:t>40</w:t>
      </w:r>
      <w:r w:rsidR="00FB418E" w:rsidRPr="00E50051">
        <w:rPr>
          <w:rFonts w:ascii="Georgia" w:hAnsi="Georgia"/>
          <w:sz w:val="18"/>
          <w:szCs w:val="18"/>
        </w:rPr>
        <w:t>% in 203</w:t>
      </w:r>
      <w:r w:rsidR="00CE78BE" w:rsidRPr="00E50051">
        <w:rPr>
          <w:rFonts w:ascii="Georgia" w:hAnsi="Georgia"/>
          <w:sz w:val="18"/>
          <w:szCs w:val="18"/>
        </w:rPr>
        <w:t>0 (without wind production at land)</w:t>
      </w:r>
      <w:r w:rsidR="00FB418E" w:rsidRPr="00E50051">
        <w:rPr>
          <w:rFonts w:ascii="Georgia" w:hAnsi="Georgia"/>
          <w:sz w:val="18"/>
          <w:szCs w:val="18"/>
        </w:rPr>
        <w:t xml:space="preserve"> and in Denmark </w:t>
      </w:r>
      <w:r w:rsidR="004022A4" w:rsidRPr="00E50051">
        <w:rPr>
          <w:rFonts w:ascii="Georgia" w:hAnsi="Georgia"/>
          <w:sz w:val="18"/>
          <w:szCs w:val="18"/>
        </w:rPr>
        <w:t xml:space="preserve">in 2014, 40% of all energy was generated from wind power, in 2020, 50%. </w:t>
      </w:r>
      <w:r w:rsidR="00E16942" w:rsidRPr="00E50051">
        <w:rPr>
          <w:rFonts w:ascii="Georgia" w:hAnsi="Georgia"/>
          <w:sz w:val="18"/>
          <w:szCs w:val="18"/>
        </w:rPr>
        <w:br/>
      </w:r>
      <w:r w:rsidR="00E16942" w:rsidRPr="00E50051">
        <w:rPr>
          <w:rFonts w:ascii="Georgia" w:hAnsi="Georgia"/>
          <w:color w:val="808080" w:themeColor="background1" w:themeShade="80"/>
          <w:sz w:val="18"/>
          <w:szCs w:val="18"/>
        </w:rPr>
        <w:t xml:space="preserve">[Note: this figure will be updated after </w:t>
      </w:r>
      <w:r w:rsidR="00CE78BE" w:rsidRPr="00E50051">
        <w:rPr>
          <w:rFonts w:ascii="Georgia" w:hAnsi="Georgia"/>
          <w:color w:val="808080" w:themeColor="background1" w:themeShade="80"/>
          <w:sz w:val="18"/>
          <w:szCs w:val="18"/>
        </w:rPr>
        <w:t>receiving</w:t>
      </w:r>
      <w:r w:rsidR="00E16942" w:rsidRPr="00E50051">
        <w:rPr>
          <w:rFonts w:ascii="Georgia" w:hAnsi="Georgia"/>
          <w:color w:val="808080" w:themeColor="background1" w:themeShade="80"/>
          <w:sz w:val="18"/>
          <w:szCs w:val="18"/>
        </w:rPr>
        <w:t xml:space="preserve"> the relevant information</w:t>
      </w:r>
      <w:r w:rsidR="00CE78BE" w:rsidRPr="00E50051">
        <w:rPr>
          <w:rFonts w:ascii="Georgia" w:hAnsi="Georgia"/>
          <w:color w:val="808080" w:themeColor="background1" w:themeShade="80"/>
          <w:sz w:val="18"/>
          <w:szCs w:val="18"/>
        </w:rPr>
        <w:t xml:space="preserve"> – if comparable information is available</w:t>
      </w:r>
      <w:r w:rsidR="00E16942" w:rsidRPr="00E50051">
        <w:rPr>
          <w:rFonts w:ascii="Georgia" w:hAnsi="Georgia"/>
          <w:color w:val="808080" w:themeColor="background1" w:themeShade="80"/>
          <w:sz w:val="18"/>
          <w:szCs w:val="18"/>
        </w:rPr>
        <w:t>]</w:t>
      </w:r>
    </w:p>
    <w:p w14:paraId="2559A22B" w14:textId="77777777" w:rsidR="001968BF" w:rsidRDefault="001968BF">
      <w:pPr>
        <w:spacing w:after="200" w:line="276" w:lineRule="auto"/>
        <w:rPr>
          <w:rFonts w:ascii="Georgia" w:hAnsi="Georgia"/>
          <w:sz w:val="16"/>
          <w:szCs w:val="16"/>
        </w:rPr>
      </w:pPr>
    </w:p>
    <w:p w14:paraId="6E0A9245" w14:textId="5442EBBC" w:rsidR="003D432A" w:rsidRPr="00E50051" w:rsidRDefault="00DE7678" w:rsidP="00E50051">
      <w:pPr>
        <w:pStyle w:val="3subheadings"/>
      </w:pPr>
      <w:r w:rsidRPr="00E50051">
        <w:t>3.</w:t>
      </w:r>
      <w:r w:rsidRPr="00C813CE">
        <w:t>1</w:t>
      </w:r>
      <w:r>
        <w:t xml:space="preserve"> </w:t>
      </w:r>
      <w:r w:rsidR="003D432A" w:rsidRPr="00E50051">
        <w:t>Germany</w:t>
      </w:r>
    </w:p>
    <w:p w14:paraId="77BDFA8A" w14:textId="242F4BB3" w:rsidR="001968BF" w:rsidRPr="00E50051" w:rsidRDefault="001E6AEA" w:rsidP="00E50051">
      <w:pPr>
        <w:pStyle w:val="3subheadings"/>
        <w:spacing w:after="170"/>
        <w:rPr>
          <w:sz w:val="22"/>
        </w:rPr>
      </w:pPr>
      <w:r>
        <w:rPr>
          <w:sz w:val="22"/>
        </w:rPr>
        <w:t xml:space="preserve">3.1.1 </w:t>
      </w:r>
      <w:r w:rsidR="001968BF" w:rsidRPr="00E50051">
        <w:rPr>
          <w:sz w:val="22"/>
        </w:rPr>
        <w:t>Federal</w:t>
      </w:r>
    </w:p>
    <w:p w14:paraId="4E41789E" w14:textId="7041A162" w:rsidR="001968BF" w:rsidRPr="00E50051" w:rsidRDefault="001968BF" w:rsidP="00E50051">
      <w:pPr>
        <w:spacing w:after="170" w:line="340" w:lineRule="exact"/>
        <w:rPr>
          <w:rFonts w:ascii="Georgia" w:hAnsi="Georgia"/>
          <w:sz w:val="22"/>
          <w:szCs w:val="22"/>
        </w:rPr>
      </w:pPr>
      <w:r w:rsidRPr="00E50051">
        <w:rPr>
          <w:rFonts w:ascii="Georgia" w:hAnsi="Georgia"/>
          <w:sz w:val="22"/>
          <w:szCs w:val="22"/>
        </w:rPr>
        <w:t>With the phasing out of the use of coal, the expansion of renewables and enhanced energy efficiency, Germany intends to become more climate neutral in the next years. Germany aims, as laid down in the Climate Action Programme 2030 (Klimaschutzprogramm 2030), at phasing out coal-fired power plants by 2038. Renewables play an important role for energy supply as nuclear power plants will also be phased out by 202</w:t>
      </w:r>
      <w:r w:rsidRPr="00E50051">
        <w:rPr>
          <w:rFonts w:ascii="Georgia" w:hAnsi="Georgia"/>
          <w:sz w:val="22"/>
          <w:szCs w:val="22"/>
          <w:highlight w:val="yellow"/>
        </w:rPr>
        <w:t>x</w:t>
      </w:r>
      <w:r w:rsidRPr="00E50051">
        <w:rPr>
          <w:rFonts w:ascii="Georgia" w:hAnsi="Georgia"/>
          <w:sz w:val="22"/>
          <w:szCs w:val="22"/>
        </w:rPr>
        <w:t xml:space="preserve">. According to the Act on renewable Energies (Erneuerbare Energien-Gesetz, EEG), 40-45% of the electric power consumption shall be supplied by renewable energy until 2025. As of 2018, ca. a third of the whole electric power consumption in </w:t>
      </w:r>
      <w:r w:rsidRPr="00E50051">
        <w:rPr>
          <w:rFonts w:ascii="Georgia" w:hAnsi="Georgia"/>
          <w:sz w:val="22"/>
          <w:szCs w:val="22"/>
        </w:rPr>
        <w:lastRenderedPageBreak/>
        <w:t xml:space="preserve">Germany came from </w:t>
      </w:r>
      <w:r w:rsidR="00E50051" w:rsidRPr="00E50051">
        <w:rPr>
          <w:rFonts w:ascii="Georgia" w:hAnsi="Georgia"/>
          <w:sz w:val="22"/>
          <w:szCs w:val="22"/>
        </w:rPr>
        <w:t>renewable</w:t>
      </w:r>
      <w:r w:rsidRPr="00E50051">
        <w:rPr>
          <w:rFonts w:ascii="Georgia" w:hAnsi="Georgia"/>
          <w:sz w:val="22"/>
          <w:szCs w:val="22"/>
        </w:rPr>
        <w:t xml:space="preserve"> energy, with wind energy contributing 16% of the total. In </w:t>
      </w:r>
      <w:r w:rsidRPr="00E50051">
        <w:rPr>
          <w:rFonts w:ascii="Georgia" w:hAnsi="Georgia"/>
          <w:sz w:val="22"/>
          <w:szCs w:val="22"/>
          <w:highlight w:val="yellow"/>
        </w:rPr>
        <w:t>201</w:t>
      </w:r>
      <w:r w:rsidRPr="00E50051">
        <w:rPr>
          <w:rFonts w:ascii="Georgia" w:hAnsi="Georgia"/>
          <w:sz w:val="22"/>
          <w:szCs w:val="22"/>
        </w:rPr>
        <w:t xml:space="preserve">, 110 TWh were produced by wind turbines, ~19.5 TWh being supplied by offshore wind farms (both North and Baltic Sea). In the first quarter of 2020, wind turbines with a capacity of 137 MW have been erected offshore. </w:t>
      </w:r>
      <w:r w:rsidR="00D35102">
        <w:rPr>
          <w:rFonts w:ascii="Georgia" w:hAnsi="Georgia"/>
          <w:sz w:val="22"/>
          <w:szCs w:val="22"/>
        </w:rPr>
        <w:t xml:space="preserve"> </w:t>
      </w:r>
    </w:p>
    <w:p w14:paraId="40BD223C" w14:textId="77777777" w:rsidR="001968BF" w:rsidRPr="00E50051" w:rsidRDefault="001968BF" w:rsidP="00E50051">
      <w:pPr>
        <w:spacing w:after="170" w:line="340" w:lineRule="exact"/>
        <w:rPr>
          <w:rFonts w:ascii="Georgia" w:hAnsi="Georgia"/>
          <w:sz w:val="22"/>
          <w:szCs w:val="22"/>
        </w:rPr>
      </w:pPr>
      <w:r w:rsidRPr="00E50051">
        <w:rPr>
          <w:rFonts w:ascii="Georgia" w:hAnsi="Georgia"/>
          <w:sz w:val="22"/>
          <w:szCs w:val="22"/>
        </w:rPr>
        <w:t>The expansion targets for renewables as a whole are to be increased. For offshore wind power, the expansion target for 2030 has been raised to 20 GW. The ministers for Energy of the Bund and the relevant federal states (Hamburg, Bremen, Lower Saxony, Schleswig-Holstein and Mecklenburg –Vorpommern) concluded an agreement in May 2020 about the way forward, including criteria about the grid connection of the offshore windfarms that take into account the natural values of the Wadden Sea area. This aim shall be incorporated into the corresponding law for Offshore Wind Energy, The Windenergie auf See- Gesetz (WindSeeG). This law amendment has to pass the Federal parliament (Bundestag) and the Federal council (Bundesrat) in the months to come. There is a discussion ongoing if this aim is going to be raised to 40 GW by 2040.</w:t>
      </w:r>
    </w:p>
    <w:p w14:paraId="32D733A9" w14:textId="77777777" w:rsidR="001968BF" w:rsidRPr="001968BF" w:rsidRDefault="001968BF" w:rsidP="001968BF">
      <w:pPr>
        <w:spacing w:after="200" w:line="276" w:lineRule="auto"/>
        <w:rPr>
          <w:rFonts w:ascii="Georgia" w:hAnsi="Georgia"/>
          <w:sz w:val="20"/>
          <w:szCs w:val="20"/>
        </w:rPr>
      </w:pPr>
    </w:p>
    <w:p w14:paraId="04E5A866" w14:textId="1B9718BF" w:rsidR="001968BF" w:rsidRPr="00716411" w:rsidRDefault="00991639" w:rsidP="00716411">
      <w:pPr>
        <w:pStyle w:val="3subheadings"/>
        <w:spacing w:after="170"/>
        <w:rPr>
          <w:sz w:val="22"/>
        </w:rPr>
      </w:pPr>
      <w:r w:rsidRPr="00716411">
        <w:rPr>
          <w:sz w:val="22"/>
        </w:rPr>
        <w:t xml:space="preserve">3.1.2 </w:t>
      </w:r>
      <w:r w:rsidR="001968BF" w:rsidRPr="00716411">
        <w:rPr>
          <w:sz w:val="22"/>
        </w:rPr>
        <w:t>Schleswig-Holstein</w:t>
      </w:r>
    </w:p>
    <w:p w14:paraId="68CA53BE" w14:textId="2C8F1A7F" w:rsidR="00987B34" w:rsidRPr="00716411" w:rsidRDefault="00C41CF7" w:rsidP="00E50051">
      <w:pPr>
        <w:spacing w:after="170" w:line="340" w:lineRule="exact"/>
        <w:rPr>
          <w:rFonts w:ascii="Georgia" w:hAnsi="Georgia"/>
          <w:sz w:val="22"/>
          <w:szCs w:val="22"/>
        </w:rPr>
      </w:pPr>
      <w:r w:rsidRPr="00716411">
        <w:rPr>
          <w:rFonts w:ascii="Georgia" w:hAnsi="Georgia"/>
          <w:sz w:val="22"/>
          <w:szCs w:val="22"/>
        </w:rPr>
        <w:t>The Law on Energy transition and climate protection (Energiewende- und Klimaschutzgesetz) of Schleswig-Holstein contains ambitious goal</w:t>
      </w:r>
      <w:r w:rsidR="002A6B21" w:rsidRPr="00716411">
        <w:rPr>
          <w:rFonts w:ascii="Georgia" w:hAnsi="Georgia"/>
          <w:sz w:val="22"/>
          <w:szCs w:val="22"/>
        </w:rPr>
        <w:t>s: it is intended</w:t>
      </w:r>
      <w:r w:rsidRPr="00716411">
        <w:rPr>
          <w:rFonts w:ascii="Georgia" w:hAnsi="Georgia"/>
          <w:sz w:val="22"/>
          <w:szCs w:val="22"/>
        </w:rPr>
        <w:t xml:space="preserve"> to reduce emissions of greenhouse gases by 40% un</w:t>
      </w:r>
      <w:r w:rsidR="007920E2" w:rsidRPr="00716411">
        <w:rPr>
          <w:rFonts w:ascii="Georgia" w:hAnsi="Georgia"/>
          <w:sz w:val="22"/>
          <w:szCs w:val="22"/>
        </w:rPr>
        <w:t xml:space="preserve">til 2020 and 80-95% % by 2050. </w:t>
      </w:r>
      <w:r w:rsidRPr="00716411">
        <w:rPr>
          <w:rFonts w:ascii="Georgia" w:hAnsi="Georgia"/>
          <w:sz w:val="22"/>
          <w:szCs w:val="22"/>
        </w:rPr>
        <w:t>37 TWh of electricity shall be generated by renewables until 2025.</w:t>
      </w:r>
      <w:r w:rsidR="003F7789" w:rsidRPr="00716411">
        <w:rPr>
          <w:rFonts w:ascii="Georgia" w:hAnsi="Georgia"/>
          <w:sz w:val="22"/>
          <w:szCs w:val="22"/>
        </w:rPr>
        <w:t xml:space="preserve"> Schleswig-Holstein aims at being able not only to generate enough energy from renewables for its own supply of electricity, but also to be able to supply other federal states with it.</w:t>
      </w:r>
      <w:r w:rsidR="00B31094" w:rsidRPr="00716411">
        <w:rPr>
          <w:rFonts w:ascii="Georgia" w:hAnsi="Georgia"/>
          <w:sz w:val="22"/>
          <w:szCs w:val="22"/>
        </w:rPr>
        <w:t xml:space="preserve"> In 2017, 11.3 TWh were generated by onshore wind turbines and 6.9 TWh by offshore wind turbines.</w:t>
      </w:r>
      <w:r w:rsidR="002A6B21" w:rsidRPr="00716411">
        <w:rPr>
          <w:rFonts w:ascii="Georgia" w:hAnsi="Georgia"/>
          <w:sz w:val="22"/>
          <w:szCs w:val="22"/>
        </w:rPr>
        <w:t xml:space="preserve"> Nearly 3.000 wind turbines with a nominal capacity of 6.5 GW were installed in SH onshore. The </w:t>
      </w:r>
      <w:r w:rsidR="00987B34" w:rsidRPr="00716411">
        <w:rPr>
          <w:rFonts w:ascii="Georgia" w:hAnsi="Georgia"/>
          <w:sz w:val="22"/>
          <w:szCs w:val="22"/>
        </w:rPr>
        <w:t>coastal</w:t>
      </w:r>
      <w:r w:rsidR="002A6B21" w:rsidRPr="00716411">
        <w:rPr>
          <w:rFonts w:ascii="Georgia" w:hAnsi="Georgia"/>
          <w:sz w:val="22"/>
          <w:szCs w:val="22"/>
        </w:rPr>
        <w:t xml:space="preserve"> areas of the districts of Dithmarschen, Steinburg and Nordfriesland play </w:t>
      </w:r>
      <w:r w:rsidR="00987B34" w:rsidRPr="00716411">
        <w:rPr>
          <w:rFonts w:ascii="Georgia" w:hAnsi="Georgia"/>
          <w:sz w:val="22"/>
          <w:szCs w:val="22"/>
        </w:rPr>
        <w:t>an important role in this</w:t>
      </w:r>
      <w:r w:rsidR="00D35102">
        <w:rPr>
          <w:rFonts w:ascii="Georgia" w:hAnsi="Georgia"/>
          <w:sz w:val="22"/>
          <w:szCs w:val="22"/>
        </w:rPr>
        <w:t xml:space="preserve"> </w:t>
      </w:r>
      <w:r w:rsidR="00D35102" w:rsidRPr="00D35102">
        <w:rPr>
          <w:rFonts w:ascii="Georgia" w:hAnsi="Georgia"/>
          <w:color w:val="808080" w:themeColor="background1" w:themeShade="80"/>
          <w:sz w:val="22"/>
          <w:szCs w:val="22"/>
        </w:rPr>
        <w:t>[Note: SH to check wie viele Anlagen im näheren Umfeld. Add figure on situation in SH]</w:t>
      </w:r>
      <w:r w:rsidR="00987B34" w:rsidRPr="00716411">
        <w:rPr>
          <w:rFonts w:ascii="Georgia" w:hAnsi="Georgia"/>
          <w:sz w:val="22"/>
          <w:szCs w:val="22"/>
        </w:rPr>
        <w:t xml:space="preserve">. </w:t>
      </w:r>
      <w:r w:rsidR="000D1D83" w:rsidRPr="00716411">
        <w:rPr>
          <w:rFonts w:ascii="Georgia" w:hAnsi="Georgia"/>
          <w:sz w:val="22"/>
          <w:szCs w:val="22"/>
        </w:rPr>
        <w:t xml:space="preserve">Already, </w:t>
      </w:r>
      <w:r w:rsidR="00332A4D" w:rsidRPr="00716411">
        <w:rPr>
          <w:rFonts w:ascii="Georgia" w:hAnsi="Georgia"/>
          <w:sz w:val="22"/>
          <w:szCs w:val="22"/>
        </w:rPr>
        <w:t xml:space="preserve">the ratio between renewables and </w:t>
      </w:r>
      <w:r w:rsidR="000D1D83" w:rsidRPr="00716411">
        <w:rPr>
          <w:rFonts w:ascii="Georgia" w:hAnsi="Georgia"/>
          <w:sz w:val="22"/>
          <w:szCs w:val="22"/>
        </w:rPr>
        <w:t xml:space="preserve">of the electric power consumption in SH </w:t>
      </w:r>
      <w:r w:rsidR="00332A4D" w:rsidRPr="00716411">
        <w:rPr>
          <w:rFonts w:ascii="Georgia" w:hAnsi="Georgia"/>
          <w:sz w:val="22"/>
          <w:szCs w:val="22"/>
        </w:rPr>
        <w:t xml:space="preserve">is at 150% </w:t>
      </w:r>
      <w:r w:rsidR="000D1D83" w:rsidRPr="00716411">
        <w:rPr>
          <w:rFonts w:ascii="Georgia" w:hAnsi="Georgia"/>
          <w:sz w:val="22"/>
          <w:szCs w:val="22"/>
        </w:rPr>
        <w:t>in 2018</w:t>
      </w:r>
      <w:r w:rsidR="000D1D83" w:rsidRPr="00716411">
        <w:rPr>
          <w:rStyle w:val="Funotenzeichen"/>
          <w:rFonts w:ascii="Georgia" w:hAnsi="Georgia"/>
          <w:sz w:val="22"/>
          <w:szCs w:val="22"/>
        </w:rPr>
        <w:footnoteReference w:id="3"/>
      </w:r>
      <w:r w:rsidR="00716411" w:rsidRPr="00716411">
        <w:rPr>
          <w:rFonts w:ascii="Georgia" w:hAnsi="Georgia"/>
          <w:sz w:val="22"/>
          <w:szCs w:val="22"/>
        </w:rPr>
        <w:t xml:space="preserve"> </w:t>
      </w:r>
      <w:r w:rsidR="00332A4D" w:rsidRPr="00716411">
        <w:rPr>
          <w:rFonts w:ascii="Georgia" w:hAnsi="Georgia"/>
          <w:sz w:val="22"/>
          <w:szCs w:val="22"/>
        </w:rPr>
        <w:t xml:space="preserve">with a major contribution </w:t>
      </w:r>
      <w:r w:rsidR="00716411" w:rsidRPr="00716411">
        <w:rPr>
          <w:rFonts w:ascii="Georgia" w:hAnsi="Georgia"/>
          <w:sz w:val="22"/>
          <w:szCs w:val="22"/>
        </w:rPr>
        <w:t>from</w:t>
      </w:r>
      <w:r w:rsidR="00332A4D" w:rsidRPr="00716411">
        <w:rPr>
          <w:rFonts w:ascii="Georgia" w:hAnsi="Georgia"/>
          <w:sz w:val="22"/>
          <w:szCs w:val="22"/>
        </w:rPr>
        <w:t xml:space="preserve"> wind energy. </w:t>
      </w:r>
      <w:r w:rsidR="000D1D83" w:rsidRPr="00716411">
        <w:rPr>
          <w:rFonts w:ascii="Georgia" w:hAnsi="Georgia"/>
          <w:sz w:val="22"/>
          <w:szCs w:val="22"/>
        </w:rPr>
        <w:t>It is intended</w:t>
      </w:r>
      <w:r w:rsidR="00332A4D" w:rsidRPr="00716411">
        <w:rPr>
          <w:rFonts w:ascii="Georgia" w:hAnsi="Georgia"/>
          <w:sz w:val="22"/>
          <w:szCs w:val="22"/>
        </w:rPr>
        <w:t xml:space="preserve"> to raise this to 250% till 2025.</w:t>
      </w:r>
      <w:r w:rsidR="000D1D83" w:rsidRPr="00716411">
        <w:rPr>
          <w:rFonts w:ascii="Georgia" w:hAnsi="Georgia"/>
          <w:sz w:val="22"/>
          <w:szCs w:val="22"/>
        </w:rPr>
        <w:t xml:space="preserve"> </w:t>
      </w:r>
      <w:r w:rsidR="00332A4D" w:rsidRPr="00716411">
        <w:rPr>
          <w:rFonts w:ascii="Georgia" w:hAnsi="Georgia"/>
          <w:sz w:val="22"/>
          <w:szCs w:val="22"/>
        </w:rPr>
        <w:t>In 2018, 48.5% of electric power was generated by wind on- and offshore.</w:t>
      </w:r>
    </w:p>
    <w:p w14:paraId="4ECC89C1" w14:textId="357A8FBF" w:rsidR="001968BF" w:rsidRPr="00716411" w:rsidRDefault="001E6AEA" w:rsidP="00716411">
      <w:pPr>
        <w:pStyle w:val="3subheadings"/>
        <w:spacing w:after="170"/>
        <w:rPr>
          <w:sz w:val="22"/>
        </w:rPr>
      </w:pPr>
      <w:r>
        <w:rPr>
          <w:sz w:val="22"/>
        </w:rPr>
        <w:t xml:space="preserve">3.1.3 </w:t>
      </w:r>
      <w:r w:rsidR="00121578" w:rsidRPr="00716411">
        <w:rPr>
          <w:sz w:val="22"/>
        </w:rPr>
        <w:t>Lower Saxony</w:t>
      </w:r>
    </w:p>
    <w:p w14:paraId="068D6BB4" w14:textId="46BE90B2" w:rsidR="00991639" w:rsidRPr="00716411" w:rsidRDefault="001E6AEA" w:rsidP="00716411">
      <w:pPr>
        <w:pStyle w:val="3subheadings"/>
        <w:spacing w:after="170"/>
        <w:rPr>
          <w:sz w:val="22"/>
        </w:rPr>
      </w:pPr>
      <w:r>
        <w:rPr>
          <w:sz w:val="22"/>
        </w:rPr>
        <w:t xml:space="preserve">3.1.4 </w:t>
      </w:r>
      <w:r w:rsidR="00991639" w:rsidRPr="00716411">
        <w:rPr>
          <w:sz w:val="22"/>
        </w:rPr>
        <w:t>Hamburg</w:t>
      </w:r>
    </w:p>
    <w:p w14:paraId="1E46F4AE" w14:textId="4C9E0153" w:rsidR="00121578" w:rsidRPr="006B3980" w:rsidRDefault="00716411" w:rsidP="006B3980">
      <w:pPr>
        <w:spacing w:after="170" w:line="340" w:lineRule="exact"/>
        <w:rPr>
          <w:rFonts w:ascii="Georgia" w:hAnsi="Georgia"/>
          <w:color w:val="808080" w:themeColor="background1" w:themeShade="80"/>
          <w:sz w:val="22"/>
          <w:szCs w:val="22"/>
        </w:rPr>
      </w:pPr>
      <w:r w:rsidRPr="006B3980">
        <w:rPr>
          <w:rFonts w:ascii="Georgia" w:hAnsi="Georgia"/>
          <w:color w:val="808080" w:themeColor="background1" w:themeShade="80"/>
          <w:sz w:val="22"/>
          <w:szCs w:val="22"/>
        </w:rPr>
        <w:t>[</w:t>
      </w:r>
      <w:r w:rsidR="006B3980" w:rsidRPr="006B3980">
        <w:rPr>
          <w:rFonts w:ascii="Georgia" w:hAnsi="Georgia"/>
          <w:color w:val="808080" w:themeColor="background1" w:themeShade="80"/>
          <w:sz w:val="22"/>
          <w:szCs w:val="22"/>
        </w:rPr>
        <w:t xml:space="preserve">Note: </w:t>
      </w:r>
      <w:r w:rsidRPr="006B3980">
        <w:rPr>
          <w:rFonts w:ascii="Georgia" w:hAnsi="Georgia"/>
          <w:color w:val="808080" w:themeColor="background1" w:themeShade="80"/>
          <w:sz w:val="22"/>
          <w:szCs w:val="22"/>
        </w:rPr>
        <w:t>Task</w:t>
      </w:r>
      <w:r w:rsidR="00F604BE" w:rsidRPr="006B3980">
        <w:rPr>
          <w:rFonts w:ascii="Georgia" w:hAnsi="Georgia"/>
          <w:color w:val="808080" w:themeColor="background1" w:themeShade="80"/>
          <w:sz w:val="22"/>
          <w:szCs w:val="22"/>
        </w:rPr>
        <w:t xml:space="preserve"> in progress</w:t>
      </w:r>
      <w:r w:rsidR="006B3980" w:rsidRPr="006B3980">
        <w:rPr>
          <w:rFonts w:ascii="Georgia" w:hAnsi="Georgia"/>
          <w:color w:val="808080" w:themeColor="background1" w:themeShade="80"/>
          <w:sz w:val="22"/>
          <w:szCs w:val="22"/>
        </w:rPr>
        <w:t xml:space="preserve"> </w:t>
      </w:r>
      <w:r w:rsidRPr="006B3980">
        <w:rPr>
          <w:rFonts w:ascii="Georgia" w:hAnsi="Georgia"/>
          <w:color w:val="808080" w:themeColor="background1" w:themeShade="80"/>
          <w:sz w:val="22"/>
          <w:szCs w:val="22"/>
        </w:rPr>
        <w:t>to add the relevant information for LS and HH]</w:t>
      </w:r>
    </w:p>
    <w:p w14:paraId="6D635CCD" w14:textId="3998613C" w:rsidR="00121578" w:rsidRDefault="00121578">
      <w:pPr>
        <w:spacing w:after="200" w:line="276" w:lineRule="auto"/>
        <w:rPr>
          <w:rFonts w:ascii="Georgia" w:hAnsi="Georgia"/>
          <w:sz w:val="20"/>
          <w:szCs w:val="20"/>
        </w:rPr>
      </w:pPr>
    </w:p>
    <w:p w14:paraId="25D709D9" w14:textId="64A5B1A1" w:rsidR="00716411" w:rsidRDefault="00716411">
      <w:pPr>
        <w:spacing w:after="200" w:line="276" w:lineRule="auto"/>
        <w:rPr>
          <w:rFonts w:ascii="Georgia" w:hAnsi="Georgia"/>
          <w:sz w:val="20"/>
          <w:szCs w:val="20"/>
        </w:rPr>
      </w:pPr>
    </w:p>
    <w:p w14:paraId="439C5D95" w14:textId="77777777" w:rsidR="006B3980" w:rsidRDefault="006B3980">
      <w:pPr>
        <w:spacing w:after="200" w:line="276" w:lineRule="auto"/>
        <w:rPr>
          <w:rFonts w:ascii="Georgia" w:hAnsi="Georgia"/>
          <w:sz w:val="20"/>
          <w:szCs w:val="20"/>
        </w:rPr>
      </w:pPr>
    </w:p>
    <w:p w14:paraId="7704E603" w14:textId="77777777" w:rsidR="003D060A" w:rsidRDefault="003D060A" w:rsidP="0051671D">
      <w:pPr>
        <w:pStyle w:val="berschrift2"/>
      </w:pPr>
    </w:p>
    <w:p w14:paraId="25D9831C" w14:textId="20DF66C3" w:rsidR="003D060A" w:rsidRDefault="001E6AEA" w:rsidP="00716411">
      <w:pPr>
        <w:pStyle w:val="3subheadings"/>
      </w:pPr>
      <w:r>
        <w:lastRenderedPageBreak/>
        <w:t xml:space="preserve">3.2 </w:t>
      </w:r>
      <w:r w:rsidR="003D060A">
        <w:t>The Netherlands</w:t>
      </w:r>
    </w:p>
    <w:p w14:paraId="51B91072" w14:textId="77777777" w:rsidR="003D060A" w:rsidRDefault="003D060A" w:rsidP="0051671D">
      <w:pPr>
        <w:pStyle w:val="berschrift2"/>
      </w:pPr>
    </w:p>
    <w:p w14:paraId="6AD3DEAB" w14:textId="66E71999" w:rsidR="006C70F9" w:rsidRDefault="003D060A" w:rsidP="00716411">
      <w:pPr>
        <w:pStyle w:val="4bodytext"/>
        <w:rPr>
          <w:rFonts w:eastAsia="Times New Roman"/>
        </w:rPr>
      </w:pPr>
      <w:r w:rsidRPr="00C813CE">
        <w:rPr>
          <w:rFonts w:eastAsia="Times New Roman"/>
        </w:rPr>
        <w:t xml:space="preserve">To reduce </w:t>
      </w:r>
      <w:r>
        <w:rPr>
          <w:rFonts w:eastAsia="Times New Roman"/>
        </w:rPr>
        <w:t>the CO2-emissions in the Netherlands, the Routekaart Windenergie op Zee 2030 lays down that by the end of 2023, 3.5 GW shall be generated by offshore wind farms, with a raise to 6.1 GW in 2030. As of 2020, 1.0 GW are suppli</w:t>
      </w:r>
      <w:r w:rsidR="000768BD">
        <w:rPr>
          <w:rFonts w:eastAsia="Times New Roman"/>
        </w:rPr>
        <w:t>e</w:t>
      </w:r>
      <w:r>
        <w:rPr>
          <w:rFonts w:eastAsia="Times New Roman"/>
        </w:rPr>
        <w:t>d by offshore wind farms in the Dutch coastal waters.</w:t>
      </w:r>
      <w:r w:rsidR="006C70F9">
        <w:rPr>
          <w:rFonts w:eastAsia="Times New Roman"/>
        </w:rPr>
        <w:t xml:space="preserve"> </w:t>
      </w:r>
    </w:p>
    <w:p w14:paraId="20AB9917" w14:textId="225946BB" w:rsidR="006C70F9" w:rsidRPr="00C813CE" w:rsidRDefault="006C70F9" w:rsidP="00716411">
      <w:pPr>
        <w:pStyle w:val="4bodytext"/>
      </w:pPr>
      <w:r w:rsidRPr="00C813CE">
        <w:t>The E</w:t>
      </w:r>
      <w:r>
        <w:t>ne</w:t>
      </w:r>
      <w:r w:rsidRPr="00C813CE">
        <w:t>rgy Act (Energiewet 1.0)</w:t>
      </w:r>
      <w:r w:rsidR="00C72D8E">
        <w:t xml:space="preserve"> stipulates that the development offshore is connected to several types of measures that have to take place in the mainland: the further development of the grid onshore, identification of new connection facilities (NVP) and areas of demand for energy supply. Aspects that shall also be considered to reduce the costs arising from the offshore grid connection are alternative solutions such as Hydrogen power offshore, interconnectors between offshore wind farms and the UK, supply of offshore facilities of mining and connection to the CCS-net. </w:t>
      </w:r>
    </w:p>
    <w:p w14:paraId="0F90AFF6" w14:textId="4265BB50" w:rsidR="006C70F9" w:rsidRDefault="006C70F9" w:rsidP="00716411">
      <w:pPr>
        <w:pStyle w:val="4bodytext"/>
        <w:rPr>
          <w:rFonts w:eastAsia="Times New Roman"/>
        </w:rPr>
      </w:pPr>
      <w:r>
        <w:rPr>
          <w:rFonts w:eastAsia="Times New Roman"/>
        </w:rPr>
        <w:t xml:space="preserve">Concerning the Wadden Sea, it is foreseen to connect the wind farms belonging to the area called “Ten noorden van de Waddeneilanden” via a </w:t>
      </w:r>
      <w:r w:rsidR="00121446">
        <w:rPr>
          <w:rFonts w:eastAsia="Times New Roman"/>
        </w:rPr>
        <w:t>220</w:t>
      </w:r>
      <w:r>
        <w:rPr>
          <w:rFonts w:eastAsia="Times New Roman"/>
        </w:rPr>
        <w:t>kV AC power cable system to the mainland, which</w:t>
      </w:r>
      <w:r w:rsidR="00121446">
        <w:rPr>
          <w:rFonts w:eastAsia="Times New Roman"/>
        </w:rPr>
        <w:t xml:space="preserve"> causes</w:t>
      </w:r>
      <w:r>
        <w:rPr>
          <w:rFonts w:eastAsia="Times New Roman"/>
        </w:rPr>
        <w:t xml:space="preserve"> a crossing of the WH site. </w:t>
      </w:r>
      <w:r w:rsidR="00005643">
        <w:rPr>
          <w:rFonts w:eastAsia="Times New Roman"/>
        </w:rPr>
        <w:t xml:space="preserve">This offshore wind farm area shall generate about 0.7 GW, it is intended to run the application process at the end of 2022 with the aim to have the project implemented until </w:t>
      </w:r>
      <w:r w:rsidR="00121446">
        <w:rPr>
          <w:rFonts w:eastAsia="Times New Roman"/>
        </w:rPr>
        <w:t>2027</w:t>
      </w:r>
      <w:r w:rsidR="00005643">
        <w:rPr>
          <w:rFonts w:eastAsia="Times New Roman"/>
        </w:rPr>
        <w:t xml:space="preserve">. </w:t>
      </w:r>
    </w:p>
    <w:p w14:paraId="39D263AC" w14:textId="72972551" w:rsidR="006C70F9" w:rsidRDefault="00005643" w:rsidP="00716411">
      <w:pPr>
        <w:pStyle w:val="4bodytext"/>
        <w:rPr>
          <w:rFonts w:eastAsia="Times New Roman"/>
        </w:rPr>
      </w:pPr>
      <w:r>
        <w:rPr>
          <w:rFonts w:eastAsia="Times New Roman"/>
        </w:rPr>
        <w:t>A public hearing process concerning all the potential areas that will be open to wind farms</w:t>
      </w:r>
      <w:r w:rsidR="00463BA3">
        <w:rPr>
          <w:rFonts w:eastAsia="Times New Roman"/>
        </w:rPr>
        <w:t xml:space="preserve"> has taken place while identifying the potential network connection points</w:t>
      </w:r>
      <w:r w:rsidR="004B1A48">
        <w:rPr>
          <w:rFonts w:eastAsia="Times New Roman"/>
        </w:rPr>
        <w:t>.</w:t>
      </w:r>
      <w:r w:rsidR="00B460E8">
        <w:rPr>
          <w:rFonts w:eastAsia="Times New Roman"/>
        </w:rPr>
        <w:t xml:space="preserve"> An EIA has been carried out, also regarding the grid connection.</w:t>
      </w:r>
    </w:p>
    <w:p w14:paraId="57CEFDBC" w14:textId="07274CFD" w:rsidR="002526BD" w:rsidRPr="006B3980" w:rsidRDefault="002526BD" w:rsidP="006B3980">
      <w:pPr>
        <w:spacing w:after="170" w:line="340" w:lineRule="exact"/>
        <w:rPr>
          <w:rFonts w:ascii="Georgia" w:hAnsi="Georgia"/>
          <w:color w:val="808080" w:themeColor="background1" w:themeShade="80"/>
          <w:sz w:val="22"/>
          <w:szCs w:val="22"/>
        </w:rPr>
      </w:pPr>
      <w:r w:rsidRPr="006B3980">
        <w:rPr>
          <w:rFonts w:ascii="Georgia" w:hAnsi="Georgia"/>
          <w:color w:val="808080" w:themeColor="background1" w:themeShade="80"/>
          <w:sz w:val="22"/>
          <w:szCs w:val="22"/>
        </w:rPr>
        <w:t>[</w:t>
      </w:r>
      <w:r w:rsidR="006B3980" w:rsidRPr="006B3980">
        <w:rPr>
          <w:rFonts w:ascii="Georgia" w:hAnsi="Georgia"/>
          <w:color w:val="808080" w:themeColor="background1" w:themeShade="80"/>
          <w:sz w:val="22"/>
          <w:szCs w:val="22"/>
        </w:rPr>
        <w:t>Note</w:t>
      </w:r>
      <w:r w:rsidRPr="006B3980">
        <w:rPr>
          <w:rFonts w:ascii="Georgia" w:hAnsi="Georgia"/>
          <w:color w:val="808080" w:themeColor="background1" w:themeShade="80"/>
          <w:sz w:val="22"/>
          <w:szCs w:val="22"/>
        </w:rPr>
        <w:t>: please confirm if the information added fulfills the request “</w:t>
      </w:r>
      <w:r w:rsidRPr="006B3980">
        <w:rPr>
          <w:color w:val="808080" w:themeColor="background1" w:themeShade="80"/>
        </w:rPr>
        <w:t>Please check if this information is still valid and add information that is needed concerning spatial planning as such in NL regrading wind farms”</w:t>
      </w:r>
      <w:r w:rsidRPr="006B3980">
        <w:rPr>
          <w:rFonts w:ascii="Georgia" w:hAnsi="Georgia"/>
          <w:color w:val="808080" w:themeColor="background1" w:themeShade="80"/>
          <w:sz w:val="22"/>
          <w:szCs w:val="22"/>
        </w:rPr>
        <w:t>]</w:t>
      </w:r>
    </w:p>
    <w:p w14:paraId="2B7F9049" w14:textId="77777777" w:rsidR="002526BD" w:rsidRDefault="002526BD" w:rsidP="00716411">
      <w:pPr>
        <w:pStyle w:val="4bodytext"/>
        <w:rPr>
          <w:rFonts w:eastAsia="Times New Roman"/>
        </w:rPr>
      </w:pPr>
    </w:p>
    <w:p w14:paraId="27FBEB46" w14:textId="56B8BE5E" w:rsidR="00121578" w:rsidRDefault="00121578" w:rsidP="00C813CE"/>
    <w:p w14:paraId="086BF83D" w14:textId="2E4BC35D" w:rsidR="00121578" w:rsidRPr="007B1144" w:rsidRDefault="002526BD" w:rsidP="002526BD">
      <w:pPr>
        <w:pStyle w:val="3subheadings"/>
      </w:pPr>
      <w:r>
        <w:t xml:space="preserve">3.3 </w:t>
      </w:r>
      <w:r w:rsidR="00121578">
        <w:t>Denmark</w:t>
      </w:r>
    </w:p>
    <w:p w14:paraId="63D51C8B" w14:textId="43F95E15" w:rsidR="003D060A" w:rsidRDefault="003D060A" w:rsidP="0051671D">
      <w:pPr>
        <w:pStyle w:val="berschrift2"/>
      </w:pPr>
    </w:p>
    <w:p w14:paraId="4C317AD8" w14:textId="5062E8FE" w:rsidR="002526BD" w:rsidRPr="006B3980" w:rsidRDefault="002526BD" w:rsidP="006B3980">
      <w:pPr>
        <w:spacing w:after="170" w:line="340" w:lineRule="exact"/>
        <w:rPr>
          <w:rFonts w:ascii="Georgia" w:hAnsi="Georgia"/>
          <w:color w:val="808080" w:themeColor="background1" w:themeShade="80"/>
          <w:sz w:val="22"/>
          <w:szCs w:val="22"/>
        </w:rPr>
      </w:pPr>
      <w:r w:rsidRPr="006B3980">
        <w:rPr>
          <w:rFonts w:ascii="Georgia" w:hAnsi="Georgia"/>
          <w:color w:val="808080" w:themeColor="background1" w:themeShade="80"/>
          <w:sz w:val="22"/>
          <w:szCs w:val="22"/>
        </w:rPr>
        <w:t>[</w:t>
      </w:r>
      <w:r w:rsidR="006B3980" w:rsidRPr="006B3980">
        <w:rPr>
          <w:rFonts w:ascii="Georgia" w:hAnsi="Georgia"/>
          <w:color w:val="808080" w:themeColor="background1" w:themeShade="80"/>
          <w:sz w:val="22"/>
          <w:szCs w:val="22"/>
        </w:rPr>
        <w:t xml:space="preserve">Note: </w:t>
      </w:r>
      <w:r w:rsidRPr="006B3980">
        <w:rPr>
          <w:rFonts w:ascii="Georgia" w:hAnsi="Georgia"/>
          <w:color w:val="808080" w:themeColor="background1" w:themeShade="80"/>
          <w:sz w:val="22"/>
          <w:szCs w:val="22"/>
        </w:rPr>
        <w:t>Task</w:t>
      </w:r>
      <w:r w:rsidR="00F604BE" w:rsidRPr="006B3980">
        <w:rPr>
          <w:rFonts w:ascii="Georgia" w:hAnsi="Georgia"/>
          <w:color w:val="808080" w:themeColor="background1" w:themeShade="80"/>
          <w:sz w:val="22"/>
          <w:szCs w:val="22"/>
        </w:rPr>
        <w:t xml:space="preserve"> in progress</w:t>
      </w:r>
      <w:r w:rsidR="006B3980">
        <w:rPr>
          <w:rFonts w:ascii="Georgia" w:hAnsi="Georgia"/>
          <w:color w:val="808080" w:themeColor="background1" w:themeShade="80"/>
          <w:sz w:val="22"/>
          <w:szCs w:val="22"/>
        </w:rPr>
        <w:t xml:space="preserve"> to</w:t>
      </w:r>
      <w:r w:rsidRPr="006B3980">
        <w:rPr>
          <w:rFonts w:ascii="Georgia" w:hAnsi="Georgia"/>
          <w:color w:val="808080" w:themeColor="background1" w:themeShade="80"/>
          <w:sz w:val="22"/>
          <w:szCs w:val="22"/>
        </w:rPr>
        <w:t xml:space="preserve"> </w:t>
      </w:r>
      <w:r w:rsidR="006B3980" w:rsidRPr="006B3980">
        <w:rPr>
          <w:rFonts w:ascii="Georgia" w:hAnsi="Georgia"/>
          <w:color w:val="808080" w:themeColor="background1" w:themeShade="80"/>
          <w:sz w:val="22"/>
          <w:szCs w:val="22"/>
        </w:rPr>
        <w:t xml:space="preserve">add </w:t>
      </w:r>
      <w:r w:rsidRPr="006B3980">
        <w:rPr>
          <w:rFonts w:ascii="Georgia" w:hAnsi="Georgia"/>
          <w:color w:val="808080" w:themeColor="background1" w:themeShade="80"/>
          <w:sz w:val="22"/>
          <w:szCs w:val="22"/>
        </w:rPr>
        <w:t>information regarding the Danish energy policy]</w:t>
      </w:r>
    </w:p>
    <w:p w14:paraId="55968A1D" w14:textId="147166ED" w:rsidR="00B460E8" w:rsidRPr="00312BFB" w:rsidRDefault="00B460E8" w:rsidP="00312BFB">
      <w:pPr>
        <w:pStyle w:val="2sub-sections"/>
        <w:numPr>
          <w:ilvl w:val="0"/>
          <w:numId w:val="24"/>
        </w:numPr>
        <w:ind w:left="0" w:firstLine="0"/>
      </w:pPr>
      <w:r w:rsidRPr="00312BFB">
        <w:t>Spatial planning</w:t>
      </w:r>
    </w:p>
    <w:p w14:paraId="661E4095" w14:textId="400CDA93" w:rsidR="00991639" w:rsidRPr="00312BFB" w:rsidRDefault="00991639" w:rsidP="00312BFB">
      <w:pPr>
        <w:spacing w:after="170" w:line="340" w:lineRule="exact"/>
        <w:rPr>
          <w:rFonts w:ascii="Georgia" w:hAnsi="Georgia"/>
          <w:sz w:val="22"/>
          <w:szCs w:val="22"/>
          <w:lang w:val="en-GB"/>
        </w:rPr>
      </w:pPr>
      <w:r w:rsidRPr="00312BFB">
        <w:rPr>
          <w:rFonts w:ascii="Georgia" w:hAnsi="Georgia"/>
          <w:sz w:val="22"/>
          <w:szCs w:val="22"/>
          <w:lang w:val="en-GB"/>
        </w:rPr>
        <w:t xml:space="preserve">Spatial planning is one of the key instruments to balance competing interests. Bearing in mind that the impacts of wind turbines on the environment, especially on nature </w:t>
      </w:r>
      <w:r w:rsidR="00497F30" w:rsidRPr="00312BFB">
        <w:rPr>
          <w:rFonts w:ascii="Georgia" w:hAnsi="Georgia"/>
          <w:sz w:val="22"/>
          <w:szCs w:val="22"/>
          <w:lang w:val="en-GB"/>
        </w:rPr>
        <w:t>and human health, it has widely been recognized that the construction of wind turbines shall be restricted to defined areas.</w:t>
      </w:r>
    </w:p>
    <w:p w14:paraId="38F132CF" w14:textId="1E63A74A" w:rsidR="00991639" w:rsidRDefault="00312BFB" w:rsidP="00312BFB">
      <w:pPr>
        <w:spacing w:after="170" w:line="340" w:lineRule="exact"/>
        <w:rPr>
          <w:color w:val="808080" w:themeColor="background1" w:themeShade="80"/>
          <w:lang w:val="en-GB"/>
        </w:rPr>
      </w:pPr>
      <w:r w:rsidRPr="00312BFB">
        <w:rPr>
          <w:rFonts w:ascii="Georgia" w:hAnsi="Georgia"/>
          <w:color w:val="808080" w:themeColor="background1" w:themeShade="80"/>
          <w:sz w:val="22"/>
          <w:szCs w:val="22"/>
          <w:lang w:val="en-GB"/>
        </w:rPr>
        <w:t>[Note: to include GIS-charts? Overview by BSH</w:t>
      </w:r>
      <w:r>
        <w:rPr>
          <w:rFonts w:ascii="Georgia" w:hAnsi="Georgia"/>
          <w:color w:val="808080" w:themeColor="background1" w:themeShade="80"/>
          <w:sz w:val="22"/>
          <w:szCs w:val="22"/>
          <w:lang w:val="en-GB"/>
        </w:rPr>
        <w:t>?</w:t>
      </w:r>
      <w:r w:rsidRPr="00312BFB">
        <w:rPr>
          <w:color w:val="808080" w:themeColor="background1" w:themeShade="80"/>
          <w:lang w:val="en-GB"/>
        </w:rPr>
        <w:t>]</w:t>
      </w:r>
    </w:p>
    <w:p w14:paraId="70159606" w14:textId="072963B6" w:rsidR="00312BFB" w:rsidRDefault="00312BFB" w:rsidP="00312BFB">
      <w:pPr>
        <w:spacing w:after="170" w:line="340" w:lineRule="exact"/>
        <w:rPr>
          <w:color w:val="808080" w:themeColor="background1" w:themeShade="80"/>
          <w:lang w:val="en-GB"/>
        </w:rPr>
      </w:pPr>
    </w:p>
    <w:p w14:paraId="59E2F696" w14:textId="77777777" w:rsidR="00312BFB" w:rsidRPr="00312BFB" w:rsidRDefault="00312BFB" w:rsidP="00312BFB">
      <w:pPr>
        <w:spacing w:after="170" w:line="340" w:lineRule="exact"/>
        <w:rPr>
          <w:color w:val="808080" w:themeColor="background1" w:themeShade="80"/>
          <w:lang w:val="en-GB"/>
        </w:rPr>
      </w:pPr>
    </w:p>
    <w:p w14:paraId="30B54825" w14:textId="6A15655E" w:rsidR="004E20B5" w:rsidRPr="00312BFB" w:rsidRDefault="00991639" w:rsidP="00312BFB">
      <w:pPr>
        <w:pStyle w:val="3subheadings"/>
      </w:pPr>
      <w:r w:rsidRPr="00312BFB">
        <w:lastRenderedPageBreak/>
        <w:t xml:space="preserve">4.1 </w:t>
      </w:r>
      <w:r w:rsidR="004E20B5" w:rsidRPr="00312BFB">
        <w:t>Germany</w:t>
      </w:r>
    </w:p>
    <w:p w14:paraId="29CD3E50" w14:textId="77777777" w:rsidR="000768BD" w:rsidRDefault="000768BD" w:rsidP="007213D0">
      <w:pPr>
        <w:rPr>
          <w:lang w:val="en-GB"/>
        </w:rPr>
      </w:pPr>
    </w:p>
    <w:p w14:paraId="53A2F8C5" w14:textId="19DF625D" w:rsidR="007213D0" w:rsidRPr="00312BFB" w:rsidRDefault="007213D0" w:rsidP="00312BFB">
      <w:pPr>
        <w:spacing w:after="170" w:line="340" w:lineRule="exact"/>
        <w:rPr>
          <w:rFonts w:ascii="Georgia" w:hAnsi="Georgia"/>
          <w:sz w:val="22"/>
          <w:szCs w:val="22"/>
          <w:lang w:val="en-GB"/>
        </w:rPr>
      </w:pPr>
      <w:r w:rsidRPr="00312BFB">
        <w:rPr>
          <w:rFonts w:ascii="Georgia" w:hAnsi="Georgia"/>
          <w:sz w:val="22"/>
          <w:szCs w:val="22"/>
          <w:lang w:val="en-GB"/>
        </w:rPr>
        <w:t xml:space="preserve">The legal basis for the establishment of maritime spatial plans in the German EEZ is the Federal Regional Planning Act, which was extended to the EEZ in 2004, and last amended in 2017 to implement the EU Directive on Maritime Spatial Planning. In contrast to the territorial sea, the EEZ does not belong to the territory of the Federal Republic of Germany. Maritime spatial planning must therefore respect the freedoms of the UN Convention on the Law of the Sea, such as the freedoms of navigation, overflight and to lay cables and pipelines. </w:t>
      </w:r>
    </w:p>
    <w:p w14:paraId="49A18BB1" w14:textId="4B24584B" w:rsidR="007213D0" w:rsidRPr="00312BFB" w:rsidRDefault="007213D0" w:rsidP="00312BFB">
      <w:pPr>
        <w:spacing w:after="170" w:line="340" w:lineRule="exact"/>
        <w:rPr>
          <w:rFonts w:ascii="Georgia" w:hAnsi="Georgia"/>
          <w:sz w:val="22"/>
          <w:szCs w:val="22"/>
          <w:lang w:val="en-GB"/>
        </w:rPr>
      </w:pPr>
      <w:r w:rsidRPr="00312BFB">
        <w:rPr>
          <w:rFonts w:ascii="Georgia" w:hAnsi="Georgia"/>
          <w:sz w:val="22"/>
          <w:szCs w:val="22"/>
          <w:lang w:val="en-GB"/>
        </w:rPr>
        <w:t>The legal regulations for spatial planning in the German EEZ apply to</w:t>
      </w:r>
      <w:r w:rsidR="00312BFB">
        <w:rPr>
          <w:rFonts w:ascii="Georgia" w:hAnsi="Georgia"/>
          <w:sz w:val="22"/>
          <w:szCs w:val="22"/>
          <w:lang w:val="en-GB"/>
        </w:rPr>
        <w:t>:</w:t>
      </w:r>
    </w:p>
    <w:p w14:paraId="5578E249" w14:textId="4196FA5A" w:rsidR="007213D0" w:rsidRPr="00312BFB" w:rsidRDefault="007213D0" w:rsidP="00312BFB">
      <w:pPr>
        <w:pStyle w:val="Listenabsatz"/>
        <w:numPr>
          <w:ilvl w:val="0"/>
          <w:numId w:val="29"/>
        </w:numPr>
        <w:spacing w:after="170" w:line="340" w:lineRule="exact"/>
        <w:rPr>
          <w:rFonts w:ascii="Georgia" w:hAnsi="Georgia"/>
          <w:sz w:val="22"/>
          <w:szCs w:val="22"/>
          <w:lang w:val="en-GB"/>
        </w:rPr>
      </w:pPr>
      <w:r w:rsidRPr="00312BFB">
        <w:rPr>
          <w:rFonts w:ascii="Georgia" w:hAnsi="Georgia"/>
          <w:sz w:val="22"/>
          <w:szCs w:val="22"/>
          <w:lang w:val="en-GB"/>
        </w:rPr>
        <w:t>economic and scientific usage,</w:t>
      </w:r>
    </w:p>
    <w:p w14:paraId="198DF452" w14:textId="152C0D39" w:rsidR="007213D0" w:rsidRPr="00312BFB" w:rsidRDefault="007213D0" w:rsidP="00312BFB">
      <w:pPr>
        <w:pStyle w:val="Listenabsatz"/>
        <w:numPr>
          <w:ilvl w:val="0"/>
          <w:numId w:val="29"/>
        </w:numPr>
        <w:spacing w:after="170" w:line="340" w:lineRule="exact"/>
        <w:rPr>
          <w:rFonts w:ascii="Georgia" w:hAnsi="Georgia"/>
          <w:sz w:val="22"/>
          <w:szCs w:val="22"/>
          <w:lang w:val="en-GB"/>
        </w:rPr>
      </w:pPr>
      <w:r w:rsidRPr="00312BFB">
        <w:rPr>
          <w:rFonts w:ascii="Georgia" w:hAnsi="Georgia"/>
          <w:sz w:val="22"/>
          <w:szCs w:val="22"/>
          <w:lang w:val="en-GB"/>
        </w:rPr>
        <w:t>ensuring the safety and ease of maritime navigation, and</w:t>
      </w:r>
    </w:p>
    <w:p w14:paraId="3B7AB7F7" w14:textId="0ED0A6FE" w:rsidR="007213D0" w:rsidRPr="00312BFB" w:rsidRDefault="007213D0" w:rsidP="00312BFB">
      <w:pPr>
        <w:pStyle w:val="Listenabsatz"/>
        <w:numPr>
          <w:ilvl w:val="0"/>
          <w:numId w:val="29"/>
        </w:numPr>
        <w:spacing w:after="170" w:line="340" w:lineRule="exact"/>
        <w:rPr>
          <w:rFonts w:ascii="Georgia" w:hAnsi="Georgia"/>
          <w:sz w:val="22"/>
          <w:szCs w:val="22"/>
          <w:lang w:val="en-GB"/>
        </w:rPr>
      </w:pPr>
      <w:r w:rsidRPr="00312BFB">
        <w:rPr>
          <w:rFonts w:ascii="Georgia" w:hAnsi="Georgia"/>
          <w:sz w:val="22"/>
          <w:szCs w:val="22"/>
          <w:lang w:val="en-GB"/>
        </w:rPr>
        <w:t>the protection of the marine environment.</w:t>
      </w:r>
      <w:r w:rsidRPr="00312BFB">
        <w:rPr>
          <w:rStyle w:val="Funotenzeichen"/>
          <w:rFonts w:ascii="Georgia" w:hAnsi="Georgia"/>
          <w:sz w:val="22"/>
          <w:szCs w:val="22"/>
          <w:lang w:val="en-GB"/>
        </w:rPr>
        <w:footnoteReference w:id="4"/>
      </w:r>
    </w:p>
    <w:p w14:paraId="2829146F" w14:textId="193F7C75" w:rsidR="007213D0" w:rsidRPr="00312BFB" w:rsidRDefault="007213D0" w:rsidP="00312BFB">
      <w:pPr>
        <w:spacing w:after="170" w:line="340" w:lineRule="exact"/>
        <w:rPr>
          <w:rFonts w:ascii="Georgia" w:hAnsi="Georgia"/>
          <w:sz w:val="22"/>
          <w:szCs w:val="22"/>
          <w:lang w:val="en-GB"/>
        </w:rPr>
      </w:pPr>
      <w:r w:rsidRPr="00312BFB">
        <w:rPr>
          <w:rFonts w:ascii="Georgia" w:hAnsi="Georgia"/>
          <w:sz w:val="22"/>
          <w:szCs w:val="22"/>
          <w:lang w:val="en-GB"/>
        </w:rPr>
        <w:t xml:space="preserve">The maritime spatial plans </w:t>
      </w:r>
      <w:r w:rsidR="009D2FC3" w:rsidRPr="00312BFB">
        <w:rPr>
          <w:rFonts w:ascii="Georgia" w:hAnsi="Georgia"/>
          <w:sz w:val="22"/>
          <w:szCs w:val="22"/>
          <w:lang w:val="en-GB"/>
        </w:rPr>
        <w:t xml:space="preserve">for both North and Baltic Sea </w:t>
      </w:r>
      <w:r w:rsidRPr="00312BFB">
        <w:rPr>
          <w:rFonts w:ascii="Georgia" w:hAnsi="Georgia"/>
          <w:sz w:val="22"/>
          <w:szCs w:val="22"/>
          <w:lang w:val="en-GB"/>
        </w:rPr>
        <w:t xml:space="preserve">were established in a broad-based consultation process, in which submissions of authorities, associations and private individuals were obtained and evaluated at various stages of the planning process. In 2009, the plans entered into force as ordinances. As of now, </w:t>
      </w:r>
      <w:r w:rsidR="009D2FC3" w:rsidRPr="00312BFB">
        <w:rPr>
          <w:rFonts w:ascii="Georgia" w:hAnsi="Georgia"/>
          <w:sz w:val="22"/>
          <w:szCs w:val="22"/>
          <w:lang w:val="en-GB"/>
        </w:rPr>
        <w:t>they are revised and updated until 2021. On 11 June 2019, the Federal Ministry of the Interior, Building and Home Affairs (BMI), with the support of the Federal Maritime and Hydrographic Agency (BSH), started the revision and updating process which includes a consultation phase of the public authorities in a first stage.</w:t>
      </w:r>
    </w:p>
    <w:p w14:paraId="07A41B71" w14:textId="77777777" w:rsidR="00312BFB" w:rsidRDefault="007213D0" w:rsidP="00312BFB">
      <w:pPr>
        <w:spacing w:after="170" w:line="340" w:lineRule="exact"/>
        <w:rPr>
          <w:rFonts w:ascii="Georgia" w:hAnsi="Georgia"/>
          <w:sz w:val="22"/>
          <w:szCs w:val="22"/>
          <w:lang w:val="en-GB"/>
        </w:rPr>
      </w:pPr>
      <w:r w:rsidRPr="00312BFB">
        <w:rPr>
          <w:rFonts w:ascii="Georgia" w:hAnsi="Georgia"/>
          <w:sz w:val="22"/>
          <w:szCs w:val="22"/>
          <w:lang w:val="en-GB"/>
        </w:rPr>
        <w:t xml:space="preserve">The spatial development plan (Flächenentwicklungsplan) 2030 which has been adopted in June 2019 contains stipulations concerning the areas </w:t>
      </w:r>
      <w:r w:rsidR="00D55857" w:rsidRPr="00312BFB">
        <w:rPr>
          <w:rFonts w:ascii="Georgia" w:hAnsi="Georgia"/>
          <w:sz w:val="22"/>
          <w:szCs w:val="22"/>
          <w:lang w:val="en-GB"/>
        </w:rPr>
        <w:t>for offshore wind energy and offshore grid connections in the North Sea and Baltic Sea in the period from 2026 to at least 2030. Within the areas, areas will be defined for which it will be determined how much capacity (megawatts) from offshore wind turbines is expected to be installed and commissioned in each calendar year. In order to ensure synchronisation with the required grid connections for the offshore wind turbines, the location of the offshore platforms and the route for the grid connections within the German Exclusive Economic Zone will be determined. In addition, it is determined in which calendar year the planned offshore wind turbines and their grid connections will go into operation.</w:t>
      </w:r>
      <w:r w:rsidR="00312BFB">
        <w:rPr>
          <w:rFonts w:ascii="Georgia" w:hAnsi="Georgia"/>
          <w:sz w:val="22"/>
          <w:szCs w:val="22"/>
          <w:lang w:val="en-GB"/>
        </w:rPr>
        <w:t xml:space="preserve"> </w:t>
      </w:r>
    </w:p>
    <w:p w14:paraId="24DC03DD" w14:textId="3DBD7978" w:rsidR="00D55857" w:rsidRPr="00312BFB" w:rsidRDefault="00D55857" w:rsidP="00312BFB">
      <w:pPr>
        <w:spacing w:after="170" w:line="340" w:lineRule="exact"/>
        <w:rPr>
          <w:rFonts w:ascii="Georgia" w:hAnsi="Georgia"/>
          <w:sz w:val="22"/>
          <w:szCs w:val="22"/>
          <w:lang w:val="en-GB"/>
        </w:rPr>
      </w:pPr>
      <w:r w:rsidRPr="00312BFB">
        <w:rPr>
          <w:rFonts w:ascii="Georgia" w:hAnsi="Georgia"/>
          <w:sz w:val="22"/>
          <w:szCs w:val="22"/>
          <w:lang w:val="en-GB"/>
        </w:rPr>
        <w:t>The scope of application of the FEP relates to the German Exclusive Economic Zone of the North Sea and the Baltic Sea. In addition, the plan mainly deals with spatial determinations for cross-border (international) grid connections and connections between grid infrastructures. The technical planning specifications are made on the basis of planning and standardised technical principles.</w:t>
      </w:r>
    </w:p>
    <w:p w14:paraId="64E125F7" w14:textId="59FFE01E" w:rsidR="00D55857" w:rsidRPr="00312BFB" w:rsidRDefault="00D55857" w:rsidP="00312BFB">
      <w:pPr>
        <w:spacing w:after="170" w:line="340" w:lineRule="exact"/>
        <w:rPr>
          <w:rFonts w:ascii="Georgia" w:hAnsi="Georgia"/>
          <w:sz w:val="22"/>
          <w:szCs w:val="22"/>
          <w:lang w:val="en-GB"/>
        </w:rPr>
      </w:pPr>
      <w:r w:rsidRPr="00312BFB">
        <w:rPr>
          <w:rFonts w:ascii="Georgia" w:hAnsi="Georgia"/>
          <w:sz w:val="22"/>
          <w:szCs w:val="22"/>
          <w:lang w:val="en-GB"/>
        </w:rPr>
        <w:t xml:space="preserve">The FEP determines the chronological order in which the areas for offshore wind turbines will be put out to tender and the wind turbines will go into operation. In determining the order, criteria such as the efficient use of existing and planned grid connections, the spatial proximity to the coast, </w:t>
      </w:r>
      <w:r w:rsidRPr="00312BFB">
        <w:rPr>
          <w:rFonts w:ascii="Georgia" w:hAnsi="Georgia"/>
          <w:sz w:val="22"/>
          <w:szCs w:val="22"/>
          <w:lang w:val="en-GB"/>
        </w:rPr>
        <w:lastRenderedPageBreak/>
        <w:t>conflicts of use on an area, the expected capacity to be installed on the area, and the resulting suitability of the area for cost-efficient power generation play a role.</w:t>
      </w:r>
      <w:r w:rsidR="009B5FFE" w:rsidRPr="00312BFB">
        <w:rPr>
          <w:rFonts w:ascii="Georgia" w:hAnsi="Georgia"/>
          <w:sz w:val="22"/>
          <w:szCs w:val="22"/>
        </w:rPr>
        <w:t xml:space="preserve"> </w:t>
      </w:r>
      <w:r w:rsidR="009B5FFE" w:rsidRPr="00312BFB">
        <w:rPr>
          <w:rFonts w:ascii="Georgia" w:hAnsi="Georgia"/>
          <w:sz w:val="22"/>
          <w:szCs w:val="22"/>
          <w:lang w:val="en-GB"/>
        </w:rPr>
        <w:t xml:space="preserve">The demand for offshore grid connections is determined by the Federal Network Agency (Bundesnetzagentur) on the basis of the </w:t>
      </w:r>
      <w:r w:rsidR="00507AB3" w:rsidRPr="00312BFB">
        <w:rPr>
          <w:rFonts w:ascii="Georgia" w:hAnsi="Georgia"/>
          <w:sz w:val="22"/>
          <w:szCs w:val="22"/>
          <w:lang w:val="en-GB"/>
        </w:rPr>
        <w:t>Grid</w:t>
      </w:r>
      <w:r w:rsidR="009B5FFE" w:rsidRPr="00312BFB">
        <w:rPr>
          <w:rFonts w:ascii="Georgia" w:hAnsi="Georgia"/>
          <w:sz w:val="22"/>
          <w:szCs w:val="22"/>
          <w:lang w:val="en-GB"/>
        </w:rPr>
        <w:t xml:space="preserve"> Development Plan </w:t>
      </w:r>
      <w:r w:rsidR="00795FF7" w:rsidRPr="00312BFB">
        <w:rPr>
          <w:rFonts w:ascii="Georgia" w:hAnsi="Georgia"/>
          <w:sz w:val="22"/>
          <w:szCs w:val="22"/>
          <w:lang w:val="en-GB"/>
        </w:rPr>
        <w:t xml:space="preserve">Electricity </w:t>
      </w:r>
      <w:r w:rsidR="009B5FFE" w:rsidRPr="00312BFB">
        <w:rPr>
          <w:rFonts w:ascii="Georgia" w:hAnsi="Georgia"/>
          <w:sz w:val="22"/>
          <w:szCs w:val="22"/>
          <w:lang w:val="en-GB"/>
        </w:rPr>
        <w:t>(Netzentwicklungsplan</w:t>
      </w:r>
      <w:r w:rsidR="00507AB3" w:rsidRPr="00312BFB">
        <w:rPr>
          <w:rFonts w:ascii="Georgia" w:hAnsi="Georgia"/>
          <w:sz w:val="22"/>
          <w:szCs w:val="22"/>
          <w:lang w:val="en-GB"/>
        </w:rPr>
        <w:t xml:space="preserve"> Strom</w:t>
      </w:r>
      <w:r w:rsidR="00795FF7" w:rsidRPr="00312BFB">
        <w:rPr>
          <w:rFonts w:ascii="Georgia" w:hAnsi="Georgia"/>
          <w:sz w:val="22"/>
          <w:szCs w:val="22"/>
          <w:lang w:val="en-GB"/>
        </w:rPr>
        <w:t>, NEP</w:t>
      </w:r>
      <w:r w:rsidR="009B5FFE" w:rsidRPr="00312BFB">
        <w:rPr>
          <w:rFonts w:ascii="Georgia" w:hAnsi="Georgia"/>
          <w:sz w:val="22"/>
          <w:szCs w:val="22"/>
          <w:lang w:val="en-GB"/>
        </w:rPr>
        <w:t>)</w:t>
      </w:r>
      <w:r w:rsidR="00507AB3" w:rsidRPr="00312BFB">
        <w:rPr>
          <w:rFonts w:ascii="Georgia" w:hAnsi="Georgia"/>
          <w:sz w:val="22"/>
          <w:szCs w:val="22"/>
          <w:lang w:val="en-GB"/>
        </w:rPr>
        <w:t xml:space="preserve"> which is submitted by the transmission system operators (TSO)</w:t>
      </w:r>
      <w:r w:rsidR="009B5FFE" w:rsidRPr="00312BFB">
        <w:rPr>
          <w:rFonts w:ascii="Georgia" w:hAnsi="Georgia"/>
          <w:sz w:val="22"/>
          <w:szCs w:val="22"/>
          <w:lang w:val="en-GB"/>
        </w:rPr>
        <w:t>.</w:t>
      </w:r>
      <w:r w:rsidR="00507AB3" w:rsidRPr="00312BFB">
        <w:rPr>
          <w:rFonts w:ascii="Georgia" w:hAnsi="Georgia"/>
          <w:sz w:val="22"/>
          <w:szCs w:val="22"/>
          <w:lang w:val="en-GB"/>
        </w:rPr>
        <w:t xml:space="preserve"> The four TSO have to enhance and expand the high voltage </w:t>
      </w:r>
      <w:r w:rsidR="00795FF7" w:rsidRPr="00312BFB">
        <w:rPr>
          <w:rFonts w:ascii="Georgia" w:hAnsi="Georgia"/>
          <w:sz w:val="22"/>
          <w:szCs w:val="22"/>
          <w:lang w:val="en-GB"/>
        </w:rPr>
        <w:t>transmission grid</w:t>
      </w:r>
      <w:r w:rsidR="00507AB3" w:rsidRPr="00312BFB">
        <w:rPr>
          <w:rFonts w:ascii="Georgia" w:hAnsi="Georgia"/>
          <w:sz w:val="22"/>
          <w:szCs w:val="22"/>
          <w:lang w:val="en-GB"/>
        </w:rPr>
        <w:t xml:space="preserve"> in line with the demand both offshore and onshore.</w:t>
      </w:r>
      <w:r w:rsidR="00795FF7" w:rsidRPr="00312BFB">
        <w:rPr>
          <w:rFonts w:ascii="Georgia" w:hAnsi="Georgia"/>
          <w:sz w:val="22"/>
          <w:szCs w:val="22"/>
          <w:lang w:val="en-GB"/>
        </w:rPr>
        <w:t xml:space="preserve"> The NEP contains different scenarios covering ten –fifteen years and is revised every two years. A public consultation is part of the development process of the NEP.</w:t>
      </w:r>
    </w:p>
    <w:p w14:paraId="04389EFF" w14:textId="53679037" w:rsidR="007213D0" w:rsidRPr="00312BFB" w:rsidRDefault="00E801E5" w:rsidP="00312BFB">
      <w:pPr>
        <w:spacing w:after="170" w:line="340" w:lineRule="exact"/>
        <w:rPr>
          <w:rFonts w:ascii="Georgia" w:hAnsi="Georgia"/>
          <w:sz w:val="22"/>
          <w:szCs w:val="22"/>
          <w:lang w:val="en-GB"/>
        </w:rPr>
      </w:pPr>
      <w:r w:rsidRPr="00312BFB">
        <w:rPr>
          <w:rFonts w:ascii="Georgia" w:hAnsi="Georgia"/>
          <w:sz w:val="22"/>
          <w:szCs w:val="22"/>
          <w:lang w:val="en-GB"/>
        </w:rPr>
        <w:t>When these plans are consulted, it is mandatory to involve the competent authorities of the Länder to coordinate the planning procedures. The next revision of the FEP is due end of 2020.</w:t>
      </w:r>
    </w:p>
    <w:p w14:paraId="01FE78D8" w14:textId="77777777" w:rsidR="00E801E5" w:rsidRDefault="00E801E5" w:rsidP="00D55857">
      <w:pPr>
        <w:rPr>
          <w:lang w:val="en-GB"/>
        </w:rPr>
      </w:pPr>
    </w:p>
    <w:p w14:paraId="6B76E636" w14:textId="2B7E7496" w:rsidR="007213D0" w:rsidRPr="00C813CE" w:rsidRDefault="009D2FC3" w:rsidP="00F03386">
      <w:pPr>
        <w:rPr>
          <w:u w:val="single"/>
          <w:lang w:val="en-GB"/>
        </w:rPr>
      </w:pPr>
      <w:r w:rsidRPr="00C813CE">
        <w:rPr>
          <w:u w:val="single"/>
          <w:lang w:val="en-GB"/>
        </w:rPr>
        <w:t xml:space="preserve">Federal states (Länder) </w:t>
      </w:r>
    </w:p>
    <w:p w14:paraId="6336A318" w14:textId="09FA25AC" w:rsidR="009D2FC3" w:rsidRPr="00312BFB" w:rsidRDefault="00312BFB" w:rsidP="00C813CE">
      <w:pPr>
        <w:rPr>
          <w:rFonts w:ascii="Georgia" w:hAnsi="Georgia"/>
          <w:color w:val="808080" w:themeColor="background1" w:themeShade="80"/>
          <w:sz w:val="22"/>
          <w:szCs w:val="22"/>
        </w:rPr>
      </w:pPr>
      <w:r w:rsidRPr="00312BFB">
        <w:rPr>
          <w:rFonts w:ascii="Georgia" w:hAnsi="Georgia"/>
          <w:color w:val="808080" w:themeColor="background1" w:themeShade="80"/>
          <w:sz w:val="22"/>
          <w:szCs w:val="22"/>
        </w:rPr>
        <w:t>[Note: Add charts depicting the zones and the grid connections]</w:t>
      </w:r>
    </w:p>
    <w:p w14:paraId="41B71A45" w14:textId="77777777" w:rsidR="00312BFB" w:rsidRDefault="00312BFB" w:rsidP="00C813CE"/>
    <w:p w14:paraId="4B013462" w14:textId="4E6D3FC5" w:rsidR="00F03386" w:rsidRPr="00312BFB" w:rsidRDefault="005A5513" w:rsidP="00312BFB">
      <w:pPr>
        <w:pStyle w:val="3subheadings"/>
        <w:spacing w:after="170"/>
        <w:rPr>
          <w:sz w:val="22"/>
        </w:rPr>
      </w:pPr>
      <w:r w:rsidRPr="00312BFB">
        <w:rPr>
          <w:sz w:val="22"/>
        </w:rPr>
        <w:t xml:space="preserve">4.1.1 </w:t>
      </w:r>
      <w:r w:rsidR="00A0265E" w:rsidRPr="00312BFB">
        <w:rPr>
          <w:sz w:val="22"/>
        </w:rPr>
        <w:t>Schleswig-Holstein</w:t>
      </w:r>
    </w:p>
    <w:p w14:paraId="23C4BD40" w14:textId="7EF800DE" w:rsidR="00D66615" w:rsidRPr="00312BFB" w:rsidRDefault="00A0265E" w:rsidP="00312BFB">
      <w:pPr>
        <w:spacing w:after="170" w:line="340" w:lineRule="exact"/>
        <w:rPr>
          <w:rFonts w:ascii="Georgia" w:hAnsi="Georgia"/>
          <w:sz w:val="22"/>
          <w:szCs w:val="22"/>
        </w:rPr>
      </w:pPr>
      <w:r w:rsidRPr="00312BFB">
        <w:rPr>
          <w:rFonts w:ascii="Georgia" w:hAnsi="Georgia"/>
          <w:sz w:val="22"/>
          <w:szCs w:val="22"/>
          <w:lang w:val="en-GB"/>
        </w:rPr>
        <w:t xml:space="preserve">Regulations </w:t>
      </w:r>
      <w:r w:rsidR="009D2FC3" w:rsidRPr="00312BFB">
        <w:rPr>
          <w:rFonts w:ascii="Georgia" w:hAnsi="Georgia"/>
          <w:sz w:val="22"/>
          <w:szCs w:val="22"/>
          <w:lang w:val="en-GB"/>
        </w:rPr>
        <w:t xml:space="preserve">are made </w:t>
      </w:r>
      <w:r w:rsidRPr="00312BFB">
        <w:rPr>
          <w:rFonts w:ascii="Georgia" w:hAnsi="Georgia"/>
          <w:sz w:val="22"/>
          <w:szCs w:val="22"/>
          <w:lang w:val="en-GB"/>
        </w:rPr>
        <w:t xml:space="preserve">within the Landesentwicklungsplan (Spatial Development Programme of the state of Schleswig-Holstein which is developed according to the Spacial Planning Act of Schleswig-Holstein). Special areas for Wind farms (Windenergieeignungsgebiete) are designated that comprise 2% of the land area of Schleswig-Holstein. The construction wind farms and their repowering is hence limited to these areas. On the other hand, so-called priority areas such as nature reserves and the National Park of Schleswig-Holstein Wadden Sea are defined as areas where any kind of land use has to comply with the relevant environmental protection regulations. The Act of the National Park of Schleswig-Holstein Wadden Sea explicitly prohibits the construction of projects such as Wind farms within the National Park. </w:t>
      </w:r>
      <w:r w:rsidR="009D2FC3" w:rsidRPr="00312BFB">
        <w:rPr>
          <w:rFonts w:ascii="Georgia" w:hAnsi="Georgia"/>
          <w:sz w:val="22"/>
          <w:szCs w:val="22"/>
          <w:lang w:val="en-GB"/>
        </w:rPr>
        <w:t>B</w:t>
      </w:r>
      <w:r w:rsidRPr="00312BFB">
        <w:rPr>
          <w:rFonts w:ascii="Georgia" w:hAnsi="Georgia"/>
          <w:sz w:val="22"/>
          <w:szCs w:val="22"/>
          <w:lang w:val="en-GB"/>
        </w:rPr>
        <w:t xml:space="preserve">uffer zones around </w:t>
      </w:r>
      <w:r w:rsidR="00312BFB" w:rsidRPr="00312BFB">
        <w:rPr>
          <w:rFonts w:ascii="Georgia" w:hAnsi="Georgia"/>
          <w:sz w:val="22"/>
          <w:szCs w:val="22"/>
          <w:lang w:val="en-GB"/>
        </w:rPr>
        <w:t>this area</w:t>
      </w:r>
      <w:r w:rsidR="009D2FC3" w:rsidRPr="00312BFB">
        <w:rPr>
          <w:rFonts w:ascii="Georgia" w:hAnsi="Georgia"/>
          <w:sz w:val="22"/>
          <w:szCs w:val="22"/>
          <w:lang w:val="en-GB"/>
        </w:rPr>
        <w:t xml:space="preserve"> are defined as criteria which have been applied </w:t>
      </w:r>
      <w:r w:rsidR="00D66615" w:rsidRPr="00312BFB">
        <w:rPr>
          <w:rFonts w:ascii="Georgia" w:hAnsi="Georgia"/>
          <w:sz w:val="22"/>
          <w:szCs w:val="22"/>
          <w:lang w:val="en-GB"/>
        </w:rPr>
        <w:t>to identify these special areas for Wind farms</w:t>
      </w:r>
      <w:r w:rsidRPr="00312BFB">
        <w:rPr>
          <w:rFonts w:ascii="Georgia" w:hAnsi="Georgia"/>
          <w:sz w:val="22"/>
          <w:szCs w:val="22"/>
          <w:lang w:val="en-GB"/>
        </w:rPr>
        <w:t>.</w:t>
      </w:r>
      <w:r w:rsidR="00D66615" w:rsidRPr="00312BFB">
        <w:rPr>
          <w:rFonts w:ascii="Georgia" w:hAnsi="Georgia"/>
          <w:sz w:val="22"/>
          <w:szCs w:val="22"/>
          <w:lang w:val="en-GB"/>
        </w:rPr>
        <w:t xml:space="preserve"> For example, an area along the coast of the North Sea has been defined as being of utmost importance for Bird migration. An area of 300m adjacent to the National Park is to be kept free from Wind farms to ensure the exchange between the National Park and the hinterland concerning resting, </w:t>
      </w:r>
      <w:r w:rsidR="00312BFB" w:rsidRPr="00312BFB">
        <w:rPr>
          <w:rFonts w:ascii="Georgia" w:hAnsi="Georgia"/>
          <w:sz w:val="22"/>
          <w:szCs w:val="22"/>
          <w:lang w:val="en-GB"/>
        </w:rPr>
        <w:t>breeding,</w:t>
      </w:r>
      <w:r w:rsidR="00D66615" w:rsidRPr="00312BFB">
        <w:rPr>
          <w:rFonts w:ascii="Georgia" w:hAnsi="Georgia"/>
          <w:sz w:val="22"/>
          <w:szCs w:val="22"/>
          <w:lang w:val="en-GB"/>
        </w:rPr>
        <w:t xml:space="preserve"> or foraging sites.  </w:t>
      </w:r>
    </w:p>
    <w:p w14:paraId="2582A749" w14:textId="3A64A770" w:rsidR="00A0265E" w:rsidRPr="00312BFB" w:rsidRDefault="00D66615" w:rsidP="00312BFB">
      <w:pPr>
        <w:spacing w:after="170" w:line="340" w:lineRule="exact"/>
        <w:rPr>
          <w:rFonts w:ascii="Georgia" w:hAnsi="Georgia"/>
          <w:sz w:val="22"/>
          <w:szCs w:val="22"/>
          <w:lang w:val="en-GB"/>
        </w:rPr>
      </w:pPr>
      <w:r w:rsidRPr="00312BFB">
        <w:rPr>
          <w:rFonts w:ascii="Georgia" w:hAnsi="Georgia"/>
          <w:sz w:val="22"/>
          <w:szCs w:val="22"/>
          <w:lang w:val="en-GB"/>
        </w:rPr>
        <w:t>They will be defined and depicted in the regional spatial plans which are, like the Landesentwicklungsplan, developed by the competent authority, the Ministry for the Interior</w:t>
      </w:r>
      <w:r w:rsidR="00B460E8" w:rsidRPr="00312BFB">
        <w:rPr>
          <w:rFonts w:ascii="Georgia" w:hAnsi="Georgia"/>
          <w:sz w:val="22"/>
          <w:szCs w:val="22"/>
          <w:lang w:val="en-GB"/>
        </w:rPr>
        <w:t>.</w:t>
      </w:r>
      <w:r w:rsidRPr="00312BFB">
        <w:rPr>
          <w:rFonts w:ascii="Georgia" w:hAnsi="Georgia"/>
          <w:sz w:val="22"/>
          <w:szCs w:val="22"/>
          <w:lang w:val="en-GB"/>
        </w:rPr>
        <w:t xml:space="preserve"> They will enter into force as ordinances under the Schleswig-Holstein Spatial Planning Law (Raumordnungsgesetz Schleswig-Holstein).</w:t>
      </w:r>
    </w:p>
    <w:p w14:paraId="3A494E7D" w14:textId="3F5E8818" w:rsidR="00E801E5" w:rsidRPr="00312BFB" w:rsidRDefault="00D55857" w:rsidP="00187ABE">
      <w:pPr>
        <w:spacing w:after="170" w:line="340" w:lineRule="exact"/>
        <w:rPr>
          <w:rFonts w:ascii="Georgia" w:hAnsi="Georgia"/>
          <w:sz w:val="22"/>
          <w:szCs w:val="22"/>
        </w:rPr>
      </w:pPr>
      <w:r w:rsidRPr="00312BFB">
        <w:rPr>
          <w:rFonts w:ascii="Georgia" w:hAnsi="Georgia"/>
          <w:sz w:val="22"/>
          <w:szCs w:val="22"/>
          <w:lang w:val="en-GB"/>
        </w:rPr>
        <w:t xml:space="preserve">Regarding the grid connection of the high voltage power cables which connect the offshore wind farms in the EEZ with the </w:t>
      </w:r>
      <w:r w:rsidR="00447495" w:rsidRPr="00312BFB">
        <w:rPr>
          <w:rFonts w:ascii="Georgia" w:hAnsi="Georgia"/>
          <w:sz w:val="22"/>
          <w:szCs w:val="22"/>
          <w:lang w:val="en-GB"/>
        </w:rPr>
        <w:t xml:space="preserve">grid nodes </w:t>
      </w:r>
      <w:r w:rsidRPr="00312BFB">
        <w:rPr>
          <w:rFonts w:ascii="Georgia" w:hAnsi="Georgia"/>
          <w:sz w:val="22"/>
          <w:szCs w:val="22"/>
          <w:lang w:val="en-GB"/>
        </w:rPr>
        <w:t>in the mainland</w:t>
      </w:r>
      <w:r w:rsidR="00447495" w:rsidRPr="00312BFB">
        <w:rPr>
          <w:rFonts w:ascii="Georgia" w:hAnsi="Georgia"/>
          <w:sz w:val="22"/>
          <w:szCs w:val="22"/>
          <w:lang w:val="en-GB"/>
        </w:rPr>
        <w:t xml:space="preserve"> in Schleswig-Holstein</w:t>
      </w:r>
      <w:r w:rsidRPr="00312BFB">
        <w:rPr>
          <w:rFonts w:ascii="Georgia" w:hAnsi="Georgia"/>
          <w:sz w:val="22"/>
          <w:szCs w:val="22"/>
          <w:lang w:val="en-GB"/>
        </w:rPr>
        <w:t xml:space="preserve">, the corridor has been defined and incorporated into the LEP. With the revision of the plan, the so-called Büsumtrasse will </w:t>
      </w:r>
      <w:r w:rsidR="00447495" w:rsidRPr="00312BFB">
        <w:rPr>
          <w:rFonts w:ascii="Georgia" w:hAnsi="Georgia"/>
          <w:sz w:val="22"/>
          <w:szCs w:val="22"/>
          <w:lang w:val="en-GB"/>
        </w:rPr>
        <w:t xml:space="preserve">still </w:t>
      </w:r>
      <w:r w:rsidRPr="00312BFB">
        <w:rPr>
          <w:rFonts w:ascii="Georgia" w:hAnsi="Georgia"/>
          <w:sz w:val="22"/>
          <w:szCs w:val="22"/>
          <w:lang w:val="en-GB"/>
        </w:rPr>
        <w:t xml:space="preserve">be defined as the sole cable corridor </w:t>
      </w:r>
      <w:r w:rsidR="00447495" w:rsidRPr="00312BFB">
        <w:rPr>
          <w:rFonts w:ascii="Georgia" w:hAnsi="Georgia"/>
          <w:sz w:val="22"/>
          <w:szCs w:val="22"/>
          <w:lang w:val="en-GB"/>
        </w:rPr>
        <w:t xml:space="preserve">crossing the Wadden Sea World Heritage site in Schleswig-Holstein. The revised LEP is intended to enter into force in </w:t>
      </w:r>
      <w:r w:rsidR="00E801E5" w:rsidRPr="00312BFB">
        <w:rPr>
          <w:rFonts w:ascii="Georgia" w:hAnsi="Georgia"/>
          <w:sz w:val="22"/>
          <w:szCs w:val="22"/>
          <w:lang w:val="en-GB"/>
        </w:rPr>
        <w:t>2020/</w:t>
      </w:r>
      <w:r w:rsidR="00447495" w:rsidRPr="00312BFB">
        <w:rPr>
          <w:rFonts w:ascii="Georgia" w:hAnsi="Georgia"/>
          <w:sz w:val="22"/>
          <w:szCs w:val="22"/>
          <w:lang w:val="en-GB"/>
        </w:rPr>
        <w:t xml:space="preserve">2021 and thus incorporates the development in the years until 2035. </w:t>
      </w:r>
    </w:p>
    <w:p w14:paraId="0EEB250E" w14:textId="42784F8D" w:rsidR="00166E85" w:rsidRDefault="00166E85" w:rsidP="00C813CE"/>
    <w:p w14:paraId="4BA84693" w14:textId="09A5E2C1" w:rsidR="00166E85" w:rsidRDefault="00166E85" w:rsidP="00C813CE"/>
    <w:p w14:paraId="3C4A959D" w14:textId="5303C8E9" w:rsidR="005A5513" w:rsidRPr="00187ABE" w:rsidRDefault="001E6AEA" w:rsidP="00187ABE">
      <w:pPr>
        <w:pStyle w:val="3subheadings"/>
        <w:spacing w:after="170"/>
        <w:rPr>
          <w:sz w:val="22"/>
        </w:rPr>
      </w:pPr>
      <w:r>
        <w:rPr>
          <w:sz w:val="22"/>
        </w:rPr>
        <w:t xml:space="preserve">4.1.2 </w:t>
      </w:r>
      <w:r w:rsidR="005A5513" w:rsidRPr="00187ABE">
        <w:rPr>
          <w:sz w:val="22"/>
        </w:rPr>
        <w:t>Lower Saxony</w:t>
      </w:r>
    </w:p>
    <w:p w14:paraId="6C02AC9D" w14:textId="547E9FCF" w:rsidR="005A5513" w:rsidRDefault="001E6AEA" w:rsidP="001E6AEA">
      <w:pPr>
        <w:pStyle w:val="3subheadings"/>
        <w:spacing w:after="170"/>
        <w:rPr>
          <w:sz w:val="22"/>
        </w:rPr>
      </w:pPr>
      <w:r>
        <w:rPr>
          <w:sz w:val="22"/>
        </w:rPr>
        <w:t xml:space="preserve">4.1.3 </w:t>
      </w:r>
      <w:r w:rsidR="005A5513" w:rsidRPr="00F604BE">
        <w:rPr>
          <w:sz w:val="22"/>
        </w:rPr>
        <w:t>Hamburg</w:t>
      </w:r>
    </w:p>
    <w:p w14:paraId="18C5B380" w14:textId="3C2F85A4" w:rsidR="00187ABE" w:rsidRDefault="00187ABE" w:rsidP="006B3980">
      <w:pPr>
        <w:spacing w:after="170" w:line="340" w:lineRule="exact"/>
        <w:rPr>
          <w:rFonts w:ascii="Georgia" w:hAnsi="Georgia"/>
          <w:color w:val="808080" w:themeColor="background1" w:themeShade="80"/>
          <w:sz w:val="22"/>
          <w:szCs w:val="22"/>
        </w:rPr>
      </w:pPr>
      <w:r w:rsidRPr="006B3980">
        <w:rPr>
          <w:rFonts w:ascii="Georgia" w:hAnsi="Georgia"/>
          <w:color w:val="808080" w:themeColor="background1" w:themeShade="80"/>
          <w:sz w:val="22"/>
          <w:szCs w:val="22"/>
        </w:rPr>
        <w:t>[</w:t>
      </w:r>
      <w:r w:rsidR="006B3980" w:rsidRPr="006B3980">
        <w:rPr>
          <w:rFonts w:ascii="Georgia" w:hAnsi="Georgia"/>
          <w:color w:val="808080" w:themeColor="background1" w:themeShade="80"/>
          <w:sz w:val="22"/>
          <w:szCs w:val="22"/>
        </w:rPr>
        <w:t xml:space="preserve">Note: </w:t>
      </w:r>
      <w:r w:rsidRPr="006B3980">
        <w:rPr>
          <w:rFonts w:ascii="Georgia" w:hAnsi="Georgia"/>
          <w:color w:val="808080" w:themeColor="background1" w:themeShade="80"/>
          <w:sz w:val="22"/>
          <w:szCs w:val="22"/>
        </w:rPr>
        <w:t>Task</w:t>
      </w:r>
      <w:r w:rsidR="00F604BE" w:rsidRPr="006B3980">
        <w:rPr>
          <w:rFonts w:ascii="Georgia" w:hAnsi="Georgia"/>
          <w:color w:val="808080" w:themeColor="background1" w:themeShade="80"/>
          <w:sz w:val="22"/>
          <w:szCs w:val="22"/>
        </w:rPr>
        <w:t xml:space="preserve"> in progress</w:t>
      </w:r>
      <w:r w:rsidRPr="006B3980">
        <w:rPr>
          <w:rFonts w:ascii="Georgia" w:hAnsi="Georgia"/>
          <w:color w:val="808080" w:themeColor="background1" w:themeShade="80"/>
          <w:sz w:val="22"/>
          <w:szCs w:val="22"/>
        </w:rPr>
        <w:t xml:space="preserve"> </w:t>
      </w:r>
      <w:r w:rsidR="006B3980" w:rsidRPr="006B3980">
        <w:rPr>
          <w:rFonts w:ascii="Georgia" w:hAnsi="Georgia"/>
          <w:color w:val="808080" w:themeColor="background1" w:themeShade="80"/>
          <w:sz w:val="22"/>
          <w:szCs w:val="22"/>
        </w:rPr>
        <w:t>to</w:t>
      </w:r>
      <w:r w:rsidRPr="006B3980">
        <w:rPr>
          <w:rFonts w:ascii="Georgia" w:hAnsi="Georgia"/>
          <w:color w:val="808080" w:themeColor="background1" w:themeShade="80"/>
          <w:sz w:val="22"/>
          <w:szCs w:val="22"/>
        </w:rPr>
        <w:t xml:space="preserve"> add information regarding the planning system. Are there areas defined for wind turbines? Are there any criteria this delimitation is based upon?]</w:t>
      </w:r>
    </w:p>
    <w:p w14:paraId="0626B475" w14:textId="77777777" w:rsidR="006B3980" w:rsidRPr="006B3980" w:rsidRDefault="006B3980" w:rsidP="006B3980">
      <w:pPr>
        <w:rPr>
          <w:rFonts w:ascii="Georgia" w:hAnsi="Georgia"/>
          <w:color w:val="808080" w:themeColor="background1" w:themeShade="80"/>
          <w:sz w:val="22"/>
          <w:szCs w:val="22"/>
        </w:rPr>
      </w:pPr>
    </w:p>
    <w:p w14:paraId="3ADFBA56" w14:textId="32F2E7AB" w:rsidR="00DC6780" w:rsidRDefault="001E6AEA" w:rsidP="001E6AEA">
      <w:pPr>
        <w:pStyle w:val="3subheadings"/>
      </w:pPr>
      <w:r>
        <w:t xml:space="preserve">4.2 </w:t>
      </w:r>
      <w:r w:rsidR="005A5513">
        <w:t>The Netherlands</w:t>
      </w:r>
    </w:p>
    <w:p w14:paraId="702412D2" w14:textId="77777777" w:rsidR="00187ABE" w:rsidRDefault="00187ABE" w:rsidP="00187ABE">
      <w:pPr>
        <w:pStyle w:val="3subheadings"/>
      </w:pPr>
    </w:p>
    <w:p w14:paraId="438D8225" w14:textId="3B0B87B0" w:rsidR="00DC6780" w:rsidRDefault="00DC6780" w:rsidP="00187ABE">
      <w:pPr>
        <w:spacing w:after="170" w:line="340" w:lineRule="exact"/>
        <w:rPr>
          <w:rFonts w:ascii="Georgia" w:hAnsi="Georgia"/>
          <w:sz w:val="22"/>
          <w:szCs w:val="22"/>
        </w:rPr>
      </w:pPr>
      <w:r w:rsidRPr="00187ABE">
        <w:rPr>
          <w:rFonts w:ascii="Georgia" w:hAnsi="Georgia"/>
          <w:sz w:val="22"/>
          <w:szCs w:val="22"/>
        </w:rPr>
        <w:t xml:space="preserve">There are various procedures to be followed before windfarms can be build and decisions are final. Below is an overview of needed decisions and to be followed procedures. The participation process </w:t>
      </w:r>
      <w:r w:rsidR="00B00399" w:rsidRPr="00187ABE">
        <w:rPr>
          <w:rFonts w:ascii="Georgia" w:hAnsi="Georgia"/>
          <w:sz w:val="22"/>
          <w:szCs w:val="22"/>
        </w:rPr>
        <w:t xml:space="preserve">is continuous and runs throughout the procedures. </w:t>
      </w:r>
    </w:p>
    <w:p w14:paraId="44614EAB" w14:textId="77777777" w:rsidR="00187ABE" w:rsidRPr="00187ABE" w:rsidRDefault="00187ABE" w:rsidP="00187ABE">
      <w:pPr>
        <w:spacing w:after="170" w:line="340" w:lineRule="exact"/>
        <w:rPr>
          <w:rFonts w:ascii="Georgia" w:hAnsi="Georgia"/>
          <w:sz w:val="22"/>
          <w:szCs w:val="22"/>
        </w:rPr>
      </w:pPr>
    </w:p>
    <w:p w14:paraId="5FC6965D" w14:textId="453C2F33" w:rsidR="00B00399" w:rsidRPr="00187ABE" w:rsidRDefault="00B00399" w:rsidP="00187ABE">
      <w:pPr>
        <w:spacing w:after="170" w:line="340" w:lineRule="exact"/>
        <w:rPr>
          <w:rFonts w:ascii="Georgia" w:hAnsi="Georgia"/>
          <w:i/>
          <w:iCs/>
          <w:sz w:val="22"/>
          <w:szCs w:val="22"/>
        </w:rPr>
      </w:pPr>
      <w:r w:rsidRPr="00187ABE">
        <w:rPr>
          <w:rFonts w:ascii="Georgia" w:hAnsi="Georgia"/>
          <w:i/>
          <w:iCs/>
          <w:sz w:val="22"/>
          <w:szCs w:val="22"/>
        </w:rPr>
        <w:t>National coordination regulation</w:t>
      </w:r>
    </w:p>
    <w:p w14:paraId="30EB90C5" w14:textId="2340A26D" w:rsidR="00B00399" w:rsidRPr="00187ABE" w:rsidRDefault="00B00399" w:rsidP="00187ABE">
      <w:pPr>
        <w:spacing w:after="170" w:line="340" w:lineRule="exact"/>
        <w:rPr>
          <w:rFonts w:ascii="Georgia" w:hAnsi="Georgia"/>
          <w:sz w:val="22"/>
          <w:szCs w:val="22"/>
        </w:rPr>
      </w:pPr>
      <w:r w:rsidRPr="00187ABE">
        <w:rPr>
          <w:rFonts w:ascii="Georgia" w:hAnsi="Georgia"/>
          <w:sz w:val="22"/>
          <w:szCs w:val="22"/>
        </w:rPr>
        <w:t xml:space="preserve">It follows from article 20a, 20c and 20ca from the electricity law 1998 that for an extension of the Net at Sea the national coordination regulation (RCR) applies. The Minister of Economic Affairs and Climate (EZK) is the project-minister and the coordinating competent authority. </w:t>
      </w:r>
      <w:r w:rsidR="0015101D" w:rsidRPr="00187ABE">
        <w:rPr>
          <w:rFonts w:ascii="Georgia" w:hAnsi="Georgia"/>
          <w:sz w:val="22"/>
          <w:szCs w:val="22"/>
        </w:rPr>
        <w:t xml:space="preserve">The needed decisions (integration plan and implementation decision; see further on) will be brought in procedure simultaneously. Handed in opinions and appeals will be dealt with simultaneously. The Minister of EZK is together with the Minister of Interior and Kingdom Relations (BZK) are the competent authorities for determining the location. </w:t>
      </w:r>
    </w:p>
    <w:p w14:paraId="32DE5046" w14:textId="15BA60FA" w:rsidR="0015101D" w:rsidRPr="00187ABE" w:rsidRDefault="0015101D" w:rsidP="00187ABE">
      <w:pPr>
        <w:spacing w:after="170" w:line="340" w:lineRule="exact"/>
        <w:rPr>
          <w:rFonts w:ascii="Georgia" w:hAnsi="Georgia"/>
          <w:sz w:val="22"/>
          <w:szCs w:val="22"/>
        </w:rPr>
      </w:pPr>
    </w:p>
    <w:p w14:paraId="2A271E9A" w14:textId="165495AE" w:rsidR="0015101D" w:rsidRPr="00187ABE" w:rsidRDefault="0015101D" w:rsidP="00187ABE">
      <w:pPr>
        <w:spacing w:after="170" w:line="340" w:lineRule="exact"/>
        <w:rPr>
          <w:rFonts w:ascii="Georgia" w:hAnsi="Georgia"/>
          <w:i/>
          <w:iCs/>
          <w:sz w:val="22"/>
          <w:szCs w:val="22"/>
        </w:rPr>
      </w:pPr>
      <w:r w:rsidRPr="00187ABE">
        <w:rPr>
          <w:rFonts w:ascii="Georgia" w:hAnsi="Georgia"/>
          <w:i/>
          <w:iCs/>
          <w:sz w:val="22"/>
          <w:szCs w:val="22"/>
        </w:rPr>
        <w:t>Integration plan</w:t>
      </w:r>
    </w:p>
    <w:p w14:paraId="6C5ACB3E" w14:textId="2F29EC5F" w:rsidR="00DC6780" w:rsidRPr="00187ABE" w:rsidRDefault="0015101D" w:rsidP="00187ABE">
      <w:pPr>
        <w:spacing w:after="170" w:line="340" w:lineRule="exact"/>
        <w:rPr>
          <w:rFonts w:ascii="Georgia" w:hAnsi="Georgia"/>
          <w:sz w:val="22"/>
          <w:szCs w:val="22"/>
        </w:rPr>
      </w:pPr>
      <w:r w:rsidRPr="00187ABE">
        <w:rPr>
          <w:rFonts w:ascii="Georgia" w:hAnsi="Georgia"/>
          <w:sz w:val="22"/>
          <w:szCs w:val="22"/>
        </w:rPr>
        <w:t xml:space="preserve">The Ministers of EZK and BZK determine an integration plan for the windfarm in which it is ruled where new cable connections and the transformation station will be build. This instrument is applied at the national level, because the minister of EZK is responsible for energy policy. This is confirmed in the electricity law 1998. </w:t>
      </w:r>
    </w:p>
    <w:p w14:paraId="62AE72B5" w14:textId="2693EB4C" w:rsidR="0015101D" w:rsidRPr="00187ABE" w:rsidRDefault="0015101D" w:rsidP="00187ABE">
      <w:pPr>
        <w:spacing w:after="170" w:line="340" w:lineRule="exact"/>
        <w:rPr>
          <w:rFonts w:ascii="Georgia" w:hAnsi="Georgia"/>
          <w:sz w:val="22"/>
          <w:szCs w:val="22"/>
        </w:rPr>
      </w:pPr>
      <w:r w:rsidRPr="00187ABE">
        <w:rPr>
          <w:rFonts w:ascii="Georgia" w:hAnsi="Georgia"/>
          <w:sz w:val="22"/>
          <w:szCs w:val="22"/>
        </w:rPr>
        <w:t xml:space="preserve">The integration plan applies for both the part of the project that runs over land and the part at sea. The part at sea only concerns the area part of the municipalities. The municipality area runs up to a maximum of 1 kilometer from the coast. </w:t>
      </w:r>
    </w:p>
    <w:p w14:paraId="0AE3851A" w14:textId="6651011E" w:rsidR="0015101D" w:rsidRPr="00187ABE" w:rsidRDefault="0015101D" w:rsidP="00187ABE">
      <w:pPr>
        <w:spacing w:after="170" w:line="340" w:lineRule="exact"/>
        <w:rPr>
          <w:rFonts w:ascii="Georgia" w:hAnsi="Georgia"/>
          <w:sz w:val="22"/>
          <w:szCs w:val="22"/>
        </w:rPr>
      </w:pPr>
      <w:r w:rsidRPr="00187ABE">
        <w:rPr>
          <w:rFonts w:ascii="Georgia" w:hAnsi="Georgia"/>
          <w:sz w:val="22"/>
          <w:szCs w:val="22"/>
        </w:rPr>
        <w:t>The integration plan concerns for the upcoming wind farms the trajectory, the conditions for the spacious relevant aspects of the project (for example the transformation station), the exploitation and the building process. The integration plan contains amongst others;</w:t>
      </w:r>
    </w:p>
    <w:p w14:paraId="4CA4B669" w14:textId="6E8A691E" w:rsidR="0015101D" w:rsidRPr="00187ABE" w:rsidRDefault="0015101D" w:rsidP="00187ABE">
      <w:pPr>
        <w:pStyle w:val="Listenabsatz"/>
        <w:numPr>
          <w:ilvl w:val="0"/>
          <w:numId w:val="30"/>
        </w:numPr>
        <w:spacing w:after="170" w:line="340" w:lineRule="exact"/>
        <w:rPr>
          <w:rFonts w:ascii="Georgia" w:hAnsi="Georgia"/>
          <w:sz w:val="22"/>
          <w:szCs w:val="22"/>
        </w:rPr>
      </w:pPr>
      <w:r w:rsidRPr="00187ABE">
        <w:rPr>
          <w:rFonts w:ascii="Georgia" w:hAnsi="Georgia"/>
          <w:sz w:val="22"/>
          <w:szCs w:val="22"/>
        </w:rPr>
        <w:t>A map with the exact trajectory and location of the transformation station,</w:t>
      </w:r>
    </w:p>
    <w:p w14:paraId="4EEF87ED" w14:textId="4A37C296" w:rsidR="0015101D" w:rsidRPr="00187ABE" w:rsidRDefault="0015101D" w:rsidP="00187ABE">
      <w:pPr>
        <w:pStyle w:val="Listenabsatz"/>
        <w:numPr>
          <w:ilvl w:val="0"/>
          <w:numId w:val="30"/>
        </w:numPr>
        <w:spacing w:after="170" w:line="340" w:lineRule="exact"/>
        <w:rPr>
          <w:rFonts w:ascii="Georgia" w:hAnsi="Georgia"/>
          <w:sz w:val="22"/>
          <w:szCs w:val="22"/>
        </w:rPr>
      </w:pPr>
      <w:r w:rsidRPr="00187ABE">
        <w:rPr>
          <w:rFonts w:ascii="Georgia" w:hAnsi="Georgia"/>
          <w:sz w:val="22"/>
          <w:szCs w:val="22"/>
        </w:rPr>
        <w:lastRenderedPageBreak/>
        <w:t xml:space="preserve">Plan rules </w:t>
      </w:r>
      <w:r w:rsidR="00797851" w:rsidRPr="00187ABE">
        <w:rPr>
          <w:rFonts w:ascii="Georgia" w:hAnsi="Georgia"/>
          <w:sz w:val="22"/>
          <w:szCs w:val="22"/>
        </w:rPr>
        <w:t xml:space="preserve">which </w:t>
      </w:r>
      <w:r w:rsidR="00756E60" w:rsidRPr="00187ABE">
        <w:rPr>
          <w:rFonts w:ascii="Georgia" w:hAnsi="Georgia"/>
          <w:sz w:val="22"/>
          <w:szCs w:val="22"/>
        </w:rPr>
        <w:t>contains the conditions for the spacious relevant aspects of design, building and exploitation of the wind farm;</w:t>
      </w:r>
    </w:p>
    <w:p w14:paraId="5830E376" w14:textId="646C0450" w:rsidR="00756E60" w:rsidRPr="00187ABE" w:rsidRDefault="00756E60" w:rsidP="00187ABE">
      <w:pPr>
        <w:pStyle w:val="Listenabsatz"/>
        <w:numPr>
          <w:ilvl w:val="0"/>
          <w:numId w:val="30"/>
        </w:numPr>
        <w:spacing w:after="170" w:line="340" w:lineRule="exact"/>
        <w:rPr>
          <w:rFonts w:ascii="Georgia" w:hAnsi="Georgia"/>
          <w:sz w:val="22"/>
          <w:szCs w:val="22"/>
        </w:rPr>
      </w:pPr>
      <w:r w:rsidRPr="00187ABE">
        <w:rPr>
          <w:rFonts w:ascii="Georgia" w:hAnsi="Georgia"/>
          <w:sz w:val="22"/>
          <w:szCs w:val="22"/>
        </w:rPr>
        <w:t>Explanation on the possible effects of the project for the surrounding, such as the effects on the environment, nature, archeology, safety and (other) users.</w:t>
      </w:r>
    </w:p>
    <w:p w14:paraId="1EEE5F96" w14:textId="7BBCC087" w:rsidR="00756E60" w:rsidRPr="00187ABE" w:rsidRDefault="00756E60" w:rsidP="00187ABE">
      <w:pPr>
        <w:pStyle w:val="Listenabsatz"/>
        <w:numPr>
          <w:ilvl w:val="0"/>
          <w:numId w:val="30"/>
        </w:numPr>
        <w:spacing w:after="170" w:line="340" w:lineRule="exact"/>
        <w:rPr>
          <w:rFonts w:ascii="Georgia" w:hAnsi="Georgia"/>
          <w:sz w:val="22"/>
          <w:szCs w:val="22"/>
        </w:rPr>
      </w:pPr>
      <w:r w:rsidRPr="00187ABE">
        <w:rPr>
          <w:rFonts w:ascii="Georgia" w:hAnsi="Georgia"/>
          <w:sz w:val="22"/>
          <w:szCs w:val="22"/>
        </w:rPr>
        <w:t xml:space="preserve">Attachments such as the environmental impact assessment and research reports. </w:t>
      </w:r>
    </w:p>
    <w:p w14:paraId="14C9B957" w14:textId="40FA437C" w:rsidR="00756E60" w:rsidRPr="00187ABE" w:rsidRDefault="00756E60" w:rsidP="00187ABE">
      <w:pPr>
        <w:pStyle w:val="Default"/>
        <w:spacing w:after="170" w:line="340" w:lineRule="exact"/>
        <w:rPr>
          <w:rFonts w:ascii="Georgia" w:hAnsi="Georgia"/>
          <w:sz w:val="22"/>
          <w:szCs w:val="22"/>
          <w:lang w:val="en-US"/>
        </w:rPr>
      </w:pPr>
      <w:r w:rsidRPr="00187ABE">
        <w:rPr>
          <w:rFonts w:ascii="Georgia" w:hAnsi="Georgia"/>
          <w:sz w:val="22"/>
          <w:szCs w:val="22"/>
          <w:lang w:val="en-US"/>
        </w:rPr>
        <w:t xml:space="preserve">The integration plan will be determined by the ministers of EZK and BZK and has a comparable level of detail and a (spacious) effect at performance decisions as a land use plan. It will be written like a land use plan based on good spacious development. Amongst others, it translates in weighing all relevant spacious interests and effects. </w:t>
      </w:r>
    </w:p>
    <w:p w14:paraId="4AF016B6" w14:textId="1345E7C3" w:rsidR="00756E60" w:rsidRPr="00187ABE" w:rsidRDefault="00756E60" w:rsidP="00187ABE">
      <w:pPr>
        <w:pStyle w:val="Default"/>
        <w:spacing w:after="170" w:line="340" w:lineRule="exact"/>
        <w:rPr>
          <w:rFonts w:ascii="Georgia" w:hAnsi="Georgia"/>
          <w:sz w:val="22"/>
          <w:szCs w:val="22"/>
          <w:lang w:val="en-US"/>
        </w:rPr>
      </w:pPr>
    </w:p>
    <w:p w14:paraId="7BD8D417" w14:textId="2583D71A" w:rsidR="00756E60" w:rsidRPr="00187ABE" w:rsidRDefault="0067362B" w:rsidP="00187ABE">
      <w:pPr>
        <w:pStyle w:val="Default"/>
        <w:spacing w:after="170" w:line="340" w:lineRule="exact"/>
        <w:rPr>
          <w:rFonts w:ascii="Georgia" w:hAnsi="Georgia"/>
          <w:i/>
          <w:iCs/>
          <w:sz w:val="22"/>
          <w:szCs w:val="22"/>
          <w:lang w:val="en-US"/>
        </w:rPr>
      </w:pPr>
      <w:r w:rsidRPr="00187ABE">
        <w:rPr>
          <w:rFonts w:ascii="Georgia" w:hAnsi="Georgia"/>
          <w:i/>
          <w:iCs/>
          <w:sz w:val="22"/>
          <w:szCs w:val="22"/>
          <w:lang w:val="en-US"/>
        </w:rPr>
        <w:t>Implementation decision</w:t>
      </w:r>
    </w:p>
    <w:p w14:paraId="086646C2" w14:textId="2399964D" w:rsidR="0067362B" w:rsidRPr="00187ABE" w:rsidRDefault="0067362B" w:rsidP="00187ABE">
      <w:pPr>
        <w:pStyle w:val="Default"/>
        <w:spacing w:after="170" w:line="340" w:lineRule="exact"/>
        <w:rPr>
          <w:rFonts w:ascii="Georgia" w:hAnsi="Georgia"/>
          <w:sz w:val="22"/>
          <w:szCs w:val="22"/>
          <w:lang w:val="en-US"/>
        </w:rPr>
      </w:pPr>
      <w:r w:rsidRPr="00187ABE">
        <w:rPr>
          <w:rFonts w:ascii="Georgia" w:hAnsi="Georgia"/>
          <w:sz w:val="22"/>
          <w:szCs w:val="22"/>
          <w:lang w:val="en-US"/>
        </w:rPr>
        <w:t xml:space="preserve">For building and exploitation of the windfarm there is, next to the integration plan, also a range of implementation decisions needed. Amongst others it applies for permits based on the waterlaw, the nature protection law and the law on general provisions environmental law (Wabo). These permits also apply for the part of the trajectory that falls outside of the integration plan. </w:t>
      </w:r>
    </w:p>
    <w:p w14:paraId="034BAA26" w14:textId="3A2D6B85" w:rsidR="0067362B" w:rsidRPr="00187ABE" w:rsidRDefault="0067362B" w:rsidP="00187ABE">
      <w:pPr>
        <w:pStyle w:val="Default"/>
        <w:spacing w:after="170" w:line="340" w:lineRule="exact"/>
        <w:rPr>
          <w:rFonts w:ascii="Georgia" w:hAnsi="Georgia"/>
          <w:sz w:val="22"/>
          <w:szCs w:val="22"/>
          <w:lang w:val="en-US"/>
        </w:rPr>
      </w:pPr>
      <w:r w:rsidRPr="00187ABE">
        <w:rPr>
          <w:rFonts w:ascii="Georgia" w:hAnsi="Georgia"/>
          <w:sz w:val="22"/>
          <w:szCs w:val="22"/>
          <w:lang w:val="en-US"/>
        </w:rPr>
        <w:t xml:space="preserve">Needed permits and waivers are requested at the competent authorities. The Minister of EZK supervises the various permit procedures because the national coordination regulation applies. The minister supervises both the content related and procedural alignment of the implementation decisions and the integration plan. He also sets deadlines in which the involved governmental actors need to finish their implementation decisions and makes sure the integration plan and implementation decisions are published simultaneously. </w:t>
      </w:r>
    </w:p>
    <w:p w14:paraId="1A635DD7" w14:textId="0FDAFE21" w:rsidR="0067362B" w:rsidRPr="00187ABE" w:rsidRDefault="0067362B" w:rsidP="00187ABE">
      <w:pPr>
        <w:pStyle w:val="Default"/>
        <w:spacing w:after="170" w:line="340" w:lineRule="exact"/>
        <w:rPr>
          <w:rFonts w:ascii="Georgia" w:hAnsi="Georgia"/>
          <w:sz w:val="22"/>
          <w:szCs w:val="22"/>
          <w:lang w:val="en-US"/>
        </w:rPr>
      </w:pPr>
      <w:r w:rsidRPr="00187ABE">
        <w:rPr>
          <w:rFonts w:ascii="Georgia" w:hAnsi="Georgia"/>
          <w:sz w:val="22"/>
          <w:szCs w:val="22"/>
          <w:lang w:val="en-US"/>
        </w:rPr>
        <w:t xml:space="preserve">After taking into consideration the various opinions the minister finalizes the decisions. Changes might be possible. Against the final decision it is possible to appeal at the highest court (Department of Administrative Justice at Raad van State). When a competent authority does not decide in time, the minister of EZK or other competent ministers can rule themselves. This is also possible when the competent authority decides not in line with the integration plan. </w:t>
      </w:r>
    </w:p>
    <w:p w14:paraId="5EA79F3F" w14:textId="77777777" w:rsidR="00756E60" w:rsidRPr="00187ABE" w:rsidRDefault="00756E60" w:rsidP="00187ABE">
      <w:pPr>
        <w:pStyle w:val="Default"/>
        <w:spacing w:after="170" w:line="340" w:lineRule="exact"/>
        <w:rPr>
          <w:rFonts w:ascii="Georgia" w:hAnsi="Georgia"/>
          <w:sz w:val="22"/>
          <w:szCs w:val="22"/>
          <w:lang w:val="en-US"/>
        </w:rPr>
      </w:pPr>
    </w:p>
    <w:p w14:paraId="5043A374" w14:textId="30A77885" w:rsidR="00DC6780" w:rsidRPr="00187ABE" w:rsidRDefault="0067362B" w:rsidP="00187ABE">
      <w:pPr>
        <w:spacing w:after="170" w:line="340" w:lineRule="exact"/>
        <w:rPr>
          <w:rFonts w:ascii="Georgia" w:hAnsi="Georgia"/>
          <w:i/>
          <w:iCs/>
          <w:sz w:val="22"/>
          <w:szCs w:val="22"/>
          <w:lang w:val="nl-NL"/>
        </w:rPr>
      </w:pPr>
      <w:r w:rsidRPr="00187ABE">
        <w:rPr>
          <w:rFonts w:ascii="Georgia" w:hAnsi="Georgia"/>
          <w:i/>
          <w:iCs/>
          <w:sz w:val="22"/>
          <w:szCs w:val="22"/>
          <w:lang w:val="nl-NL"/>
        </w:rPr>
        <w:t>Environmental and planning act</w:t>
      </w:r>
    </w:p>
    <w:p w14:paraId="23C74B1A" w14:textId="5627BD9F" w:rsidR="0067362B" w:rsidRDefault="0067362B" w:rsidP="00187ABE">
      <w:pPr>
        <w:spacing w:after="170" w:line="340" w:lineRule="exact"/>
        <w:rPr>
          <w:rFonts w:ascii="Georgia" w:hAnsi="Georgia"/>
          <w:sz w:val="22"/>
          <w:szCs w:val="22"/>
          <w:lang w:val="en-GB"/>
        </w:rPr>
      </w:pPr>
      <w:r w:rsidRPr="00187ABE">
        <w:rPr>
          <w:rFonts w:ascii="Georgia" w:hAnsi="Georgia"/>
          <w:sz w:val="22"/>
          <w:szCs w:val="22"/>
          <w:lang w:val="en-GB"/>
        </w:rPr>
        <w:t>Through the Environment and Planning Act (Omgevingswet) the government wants to combine and simplify the regulations for spatial projects. The aim is to make it easier to start up projects. For example, the construction of housing on former business parks, or the building of wind farms. The environmental and planning act is expected to be effective from the 1</w:t>
      </w:r>
      <w:r w:rsidRPr="00187ABE">
        <w:rPr>
          <w:rFonts w:ascii="Georgia" w:hAnsi="Georgia"/>
          <w:sz w:val="22"/>
          <w:szCs w:val="22"/>
          <w:vertAlign w:val="superscript"/>
          <w:lang w:val="en-GB"/>
        </w:rPr>
        <w:t>st</w:t>
      </w:r>
      <w:r w:rsidRPr="00187ABE">
        <w:rPr>
          <w:rFonts w:ascii="Georgia" w:hAnsi="Georgia"/>
          <w:sz w:val="22"/>
          <w:szCs w:val="22"/>
          <w:lang w:val="en-GB"/>
        </w:rPr>
        <w:t xml:space="preserve"> of January 2021. The law will replace, amongst others, the national coordination regulation and the integration plan. The content of the procedures will remain the same. </w:t>
      </w:r>
    </w:p>
    <w:p w14:paraId="72007506" w14:textId="77777777" w:rsidR="00DC6780" w:rsidRPr="006D6802" w:rsidRDefault="00DC6780" w:rsidP="00187ABE"/>
    <w:p w14:paraId="54D4C817" w14:textId="488C6226" w:rsidR="005A5513" w:rsidRDefault="001E6AEA" w:rsidP="00187ABE">
      <w:pPr>
        <w:pStyle w:val="3subheadings"/>
      </w:pPr>
      <w:r w:rsidRPr="00187ABE">
        <w:t xml:space="preserve">4.3 </w:t>
      </w:r>
      <w:r w:rsidR="005A5513" w:rsidRPr="00187ABE">
        <w:t>Denmark</w:t>
      </w:r>
    </w:p>
    <w:p w14:paraId="4651DDA4" w14:textId="6080F7F7" w:rsidR="00166E85" w:rsidRPr="001E6AEA" w:rsidRDefault="00166E85" w:rsidP="00187ABE">
      <w:pPr>
        <w:pStyle w:val="2sub-sections"/>
        <w:numPr>
          <w:ilvl w:val="0"/>
          <w:numId w:val="24"/>
        </w:numPr>
        <w:ind w:left="0" w:firstLine="0"/>
      </w:pPr>
      <w:r w:rsidRPr="00187ABE">
        <w:lastRenderedPageBreak/>
        <w:t>Nature protection law</w:t>
      </w:r>
    </w:p>
    <w:p w14:paraId="0CCDC1FF" w14:textId="46C8F51F" w:rsidR="004E20B5" w:rsidRPr="00187ABE" w:rsidRDefault="00187ABE" w:rsidP="00166E85">
      <w:pPr>
        <w:rPr>
          <w:rFonts w:ascii="Georgia" w:hAnsi="Georgia"/>
          <w:color w:val="808080" w:themeColor="background1" w:themeShade="80"/>
          <w:sz w:val="22"/>
          <w:szCs w:val="22"/>
          <w:lang w:val="en-GB"/>
        </w:rPr>
      </w:pPr>
      <w:r w:rsidRPr="00187ABE">
        <w:rPr>
          <w:rFonts w:ascii="Georgia" w:hAnsi="Georgia"/>
          <w:color w:val="808080" w:themeColor="background1" w:themeShade="80"/>
          <w:sz w:val="22"/>
          <w:szCs w:val="22"/>
          <w:lang w:val="en-GB"/>
        </w:rPr>
        <w:t xml:space="preserve">[Note: </w:t>
      </w:r>
      <w:r w:rsidR="000768BD" w:rsidRPr="00187ABE">
        <w:rPr>
          <w:rFonts w:ascii="Georgia" w:hAnsi="Georgia"/>
          <w:color w:val="808080" w:themeColor="background1" w:themeShade="80"/>
          <w:sz w:val="22"/>
          <w:szCs w:val="22"/>
          <w:lang w:val="en-GB"/>
        </w:rPr>
        <w:t>Tbd: introduction about legislation in place which was part of the nomination dossier</w:t>
      </w:r>
      <w:r w:rsidRPr="00187ABE">
        <w:rPr>
          <w:rFonts w:ascii="Georgia" w:hAnsi="Georgia"/>
          <w:color w:val="808080" w:themeColor="background1" w:themeShade="80"/>
          <w:sz w:val="22"/>
          <w:szCs w:val="22"/>
          <w:lang w:val="en-GB"/>
        </w:rPr>
        <w:t>]</w:t>
      </w:r>
    </w:p>
    <w:p w14:paraId="4E8A36DF" w14:textId="77777777" w:rsidR="000768BD" w:rsidRDefault="000768BD" w:rsidP="00166E85">
      <w:pPr>
        <w:rPr>
          <w:lang w:val="en-GB"/>
        </w:rPr>
      </w:pPr>
    </w:p>
    <w:p w14:paraId="55A3CAA2" w14:textId="6A54B3FF" w:rsidR="004E20B5" w:rsidRPr="00187ABE" w:rsidRDefault="000768BD" w:rsidP="00187ABE">
      <w:pPr>
        <w:pStyle w:val="3subheadings"/>
      </w:pPr>
      <w:r w:rsidRPr="00187ABE">
        <w:t xml:space="preserve">5.1 </w:t>
      </w:r>
      <w:r w:rsidR="004E20B5" w:rsidRPr="00187ABE">
        <w:t>Germany</w:t>
      </w:r>
    </w:p>
    <w:p w14:paraId="22CE80DF" w14:textId="4C74C415" w:rsidR="004E20B5" w:rsidRDefault="004E20B5" w:rsidP="00166E85">
      <w:pPr>
        <w:rPr>
          <w:lang w:val="en-GB"/>
        </w:rPr>
      </w:pPr>
    </w:p>
    <w:p w14:paraId="27BE74F9" w14:textId="6D76A454" w:rsidR="009E708F" w:rsidRPr="00187ABE" w:rsidRDefault="00BA1BCE" w:rsidP="00187ABE">
      <w:pPr>
        <w:spacing w:after="170" w:line="340" w:lineRule="exact"/>
        <w:rPr>
          <w:rFonts w:ascii="Georgia" w:hAnsi="Georgia"/>
          <w:sz w:val="22"/>
          <w:szCs w:val="22"/>
          <w:lang w:val="en-GB"/>
        </w:rPr>
      </w:pPr>
      <w:r w:rsidRPr="00187ABE">
        <w:rPr>
          <w:rFonts w:ascii="Georgia" w:hAnsi="Georgia"/>
          <w:sz w:val="22"/>
          <w:szCs w:val="22"/>
          <w:lang w:val="en-GB"/>
        </w:rPr>
        <w:t>The federal Nature protection Act (Bundesnaturschutzgesetz</w:t>
      </w:r>
      <w:r w:rsidR="000E3F79" w:rsidRPr="00187ABE">
        <w:rPr>
          <w:rFonts w:ascii="Georgia" w:hAnsi="Georgia"/>
          <w:sz w:val="22"/>
          <w:szCs w:val="22"/>
          <w:lang w:val="en-GB"/>
        </w:rPr>
        <w:t>, BNatSchG</w:t>
      </w:r>
      <w:r w:rsidRPr="00187ABE">
        <w:rPr>
          <w:rFonts w:ascii="Georgia" w:hAnsi="Georgia"/>
          <w:sz w:val="22"/>
          <w:szCs w:val="22"/>
          <w:lang w:val="en-GB"/>
        </w:rPr>
        <w:t>) sets the legal fram</w:t>
      </w:r>
      <w:r w:rsidR="009E708F" w:rsidRPr="00187ABE">
        <w:rPr>
          <w:rFonts w:ascii="Georgia" w:hAnsi="Georgia"/>
          <w:sz w:val="22"/>
          <w:szCs w:val="22"/>
          <w:lang w:val="en-GB"/>
        </w:rPr>
        <w:t>e</w:t>
      </w:r>
      <w:r w:rsidRPr="00187ABE">
        <w:rPr>
          <w:rFonts w:ascii="Georgia" w:hAnsi="Georgia"/>
          <w:sz w:val="22"/>
          <w:szCs w:val="22"/>
          <w:lang w:val="en-GB"/>
        </w:rPr>
        <w:t xml:space="preserve"> for nature protection in Germany. </w:t>
      </w:r>
      <w:r w:rsidR="009E708F" w:rsidRPr="00187ABE">
        <w:rPr>
          <w:rFonts w:ascii="Georgia" w:hAnsi="Georgia"/>
          <w:sz w:val="22"/>
          <w:szCs w:val="22"/>
          <w:lang w:val="en-GB"/>
        </w:rPr>
        <w:t>The compe</w:t>
      </w:r>
      <w:r w:rsidRPr="00187ABE">
        <w:rPr>
          <w:rFonts w:ascii="Georgia" w:hAnsi="Georgia"/>
          <w:sz w:val="22"/>
          <w:szCs w:val="22"/>
          <w:lang w:val="en-GB"/>
        </w:rPr>
        <w:t xml:space="preserve">tent authorities are at state level </w:t>
      </w:r>
      <w:r w:rsidR="009E708F" w:rsidRPr="00187ABE">
        <w:rPr>
          <w:rFonts w:ascii="Georgia" w:hAnsi="Georgia"/>
          <w:sz w:val="22"/>
          <w:szCs w:val="22"/>
          <w:lang w:val="en-GB"/>
        </w:rPr>
        <w:t>which ensure the application of the law in combination with the nature protection acts of the Länder which complement it.</w:t>
      </w:r>
    </w:p>
    <w:p w14:paraId="4793584B" w14:textId="4D6299A6" w:rsidR="00D70D6C" w:rsidRPr="00187ABE" w:rsidRDefault="00D70D6C" w:rsidP="00187ABE">
      <w:pPr>
        <w:spacing w:after="170" w:line="340" w:lineRule="exact"/>
        <w:rPr>
          <w:rFonts w:ascii="Georgia" w:hAnsi="Georgia"/>
          <w:sz w:val="22"/>
          <w:szCs w:val="22"/>
          <w:lang w:val="en-GB"/>
        </w:rPr>
      </w:pPr>
      <w:r w:rsidRPr="00187ABE">
        <w:rPr>
          <w:rFonts w:ascii="Georgia" w:hAnsi="Georgia"/>
          <w:sz w:val="22"/>
          <w:szCs w:val="22"/>
          <w:lang w:val="en-GB"/>
        </w:rPr>
        <w:t xml:space="preserve">Certain species such as birds and marine mammals (harbour porpoise) are also specially protected according to §44 BNatSchG, as well as certain biotopes (such as intertidal mudflats, and salt marshes)acc. to §30 BNatSchG. The impact on these has also to be assessed within in the application process. In general, the impact of the project is subject to the so-called “Eingriffsregelung” acc. to §§15 ff. BNatSchG which considers the impacts of construction and operation of the project on </w:t>
      </w:r>
      <w:r w:rsidR="002356C1" w:rsidRPr="00187ABE">
        <w:rPr>
          <w:rFonts w:ascii="Georgia" w:hAnsi="Georgia"/>
          <w:sz w:val="22"/>
          <w:szCs w:val="22"/>
          <w:lang w:val="en-GB"/>
        </w:rPr>
        <w:t>nature such as species and biotopes in general and ecosystem functions of soil, water and air.</w:t>
      </w:r>
    </w:p>
    <w:p w14:paraId="24A5B5BB" w14:textId="7B8B1F53" w:rsidR="002356C1" w:rsidRPr="00187ABE" w:rsidRDefault="002356C1" w:rsidP="00187ABE">
      <w:pPr>
        <w:spacing w:after="170" w:line="340" w:lineRule="exact"/>
        <w:rPr>
          <w:rFonts w:ascii="Georgia" w:hAnsi="Georgia"/>
          <w:sz w:val="22"/>
          <w:szCs w:val="22"/>
          <w:lang w:val="en-GB"/>
        </w:rPr>
      </w:pPr>
      <w:r w:rsidRPr="00187ABE">
        <w:rPr>
          <w:rFonts w:ascii="Georgia" w:hAnsi="Georgia"/>
          <w:sz w:val="22"/>
          <w:szCs w:val="22"/>
          <w:lang w:val="en-GB"/>
        </w:rPr>
        <w:t xml:space="preserve">The EU-directive on Environmental impact assessment (EIA) has been transposed into both federal and state law. Certain projects such as the construction of wind farms (both onshore and offshore) has to be assessed according to its potential impacts on the environment, including biodiversity and other ecosystem functions and components. This assessment is part of the </w:t>
      </w:r>
      <w:r w:rsidR="00A86E81" w:rsidRPr="00187ABE">
        <w:rPr>
          <w:rFonts w:ascii="Georgia" w:hAnsi="Georgia"/>
          <w:sz w:val="22"/>
          <w:szCs w:val="22"/>
          <w:lang w:val="en-GB"/>
        </w:rPr>
        <w:t xml:space="preserve">licensing </w:t>
      </w:r>
      <w:r w:rsidRPr="00187ABE">
        <w:rPr>
          <w:rFonts w:ascii="Georgia" w:hAnsi="Georgia"/>
          <w:sz w:val="22"/>
          <w:szCs w:val="22"/>
          <w:lang w:val="en-GB"/>
        </w:rPr>
        <w:t>procedure, which includes a public consultation phase.</w:t>
      </w:r>
    </w:p>
    <w:p w14:paraId="2E74AE3A" w14:textId="77777777" w:rsidR="002356C1" w:rsidRDefault="002356C1" w:rsidP="00166E85">
      <w:pPr>
        <w:rPr>
          <w:lang w:val="en-GB"/>
        </w:rPr>
      </w:pPr>
    </w:p>
    <w:p w14:paraId="20EEAB97" w14:textId="46466B1D" w:rsidR="004E20B5" w:rsidRDefault="000768BD" w:rsidP="00187ABE">
      <w:pPr>
        <w:pStyle w:val="3subheadings"/>
        <w:rPr>
          <w:lang w:val="en-GB"/>
        </w:rPr>
      </w:pPr>
      <w:r>
        <w:rPr>
          <w:lang w:val="en-GB"/>
        </w:rPr>
        <w:t>5.1.1</w:t>
      </w:r>
      <w:r w:rsidR="004E20B5">
        <w:rPr>
          <w:lang w:val="en-GB"/>
        </w:rPr>
        <w:t>Schleswig-Holstein</w:t>
      </w:r>
    </w:p>
    <w:p w14:paraId="1D3E19C0" w14:textId="0FD81FC8" w:rsidR="004E20B5" w:rsidRPr="00187ABE" w:rsidRDefault="004E20B5" w:rsidP="00187ABE">
      <w:pPr>
        <w:spacing w:after="170" w:line="340" w:lineRule="exact"/>
        <w:rPr>
          <w:rFonts w:ascii="Georgia" w:hAnsi="Georgia"/>
          <w:sz w:val="22"/>
          <w:szCs w:val="22"/>
          <w:u w:val="single"/>
        </w:rPr>
      </w:pPr>
      <w:r w:rsidRPr="00187ABE">
        <w:rPr>
          <w:rFonts w:ascii="Georgia" w:hAnsi="Georgia"/>
          <w:sz w:val="22"/>
          <w:szCs w:val="22"/>
          <w:lang w:val="en-GB"/>
        </w:rPr>
        <w:t xml:space="preserve">As far as the WH site is concerned, </w:t>
      </w:r>
      <w:r w:rsidR="00B350C5" w:rsidRPr="00187ABE">
        <w:rPr>
          <w:rFonts w:ascii="Georgia" w:hAnsi="Georgia"/>
          <w:sz w:val="22"/>
          <w:szCs w:val="22"/>
          <w:lang w:val="en-GB"/>
        </w:rPr>
        <w:t xml:space="preserve">the </w:t>
      </w:r>
      <w:r w:rsidRPr="00187ABE">
        <w:rPr>
          <w:rFonts w:ascii="Georgia" w:hAnsi="Georgia"/>
          <w:sz w:val="22"/>
          <w:szCs w:val="22"/>
          <w:lang w:val="en-GB"/>
        </w:rPr>
        <w:t>Act on the Protection of the Schleswig-Holstein Wadden Sea (NPG)</w:t>
      </w:r>
      <w:r w:rsidR="00B350C5" w:rsidRPr="00187ABE">
        <w:rPr>
          <w:rFonts w:ascii="Georgia" w:hAnsi="Georgia"/>
          <w:sz w:val="22"/>
          <w:szCs w:val="22"/>
          <w:lang w:val="en-GB"/>
        </w:rPr>
        <w:t>, is the main legal instrument that defines actions and measures which are prohibited or allowed. A</w:t>
      </w:r>
      <w:r w:rsidRPr="00187ABE">
        <w:rPr>
          <w:rFonts w:ascii="Georgia" w:hAnsi="Georgia"/>
          <w:sz w:val="22"/>
          <w:szCs w:val="22"/>
          <w:lang w:val="en-GB"/>
        </w:rPr>
        <w:t>cc</w:t>
      </w:r>
      <w:r w:rsidR="00B350C5" w:rsidRPr="00187ABE">
        <w:rPr>
          <w:rFonts w:ascii="Georgia" w:hAnsi="Georgia"/>
          <w:sz w:val="22"/>
          <w:szCs w:val="22"/>
          <w:lang w:val="en-GB"/>
        </w:rPr>
        <w:t xml:space="preserve">ording </w:t>
      </w:r>
      <w:r w:rsidRPr="00187ABE">
        <w:rPr>
          <w:rFonts w:ascii="Georgia" w:hAnsi="Georgia"/>
          <w:sz w:val="22"/>
          <w:szCs w:val="22"/>
          <w:lang w:val="en-GB"/>
        </w:rPr>
        <w:t>to § 5 (1) NPG</w:t>
      </w:r>
      <w:r w:rsidR="00B350C5" w:rsidRPr="00187ABE">
        <w:rPr>
          <w:rFonts w:ascii="Georgia" w:hAnsi="Georgia"/>
          <w:sz w:val="22"/>
          <w:szCs w:val="22"/>
          <w:lang w:val="en-GB"/>
        </w:rPr>
        <w:t>,</w:t>
      </w:r>
      <w:r w:rsidRPr="00187ABE">
        <w:rPr>
          <w:rFonts w:ascii="Georgia" w:hAnsi="Georgia"/>
          <w:sz w:val="22"/>
          <w:szCs w:val="22"/>
          <w:lang w:val="en-GB"/>
        </w:rPr>
        <w:t xml:space="preserve"> any project that might severely impact on the conservation goal </w:t>
      </w:r>
      <w:r w:rsidR="00B350C5" w:rsidRPr="00187ABE">
        <w:rPr>
          <w:rFonts w:ascii="Georgia" w:hAnsi="Georgia"/>
          <w:sz w:val="22"/>
          <w:szCs w:val="22"/>
          <w:lang w:val="en-GB"/>
        </w:rPr>
        <w:t>(Natural dynamics shall proceed in a mostly undisturbed way (which mirrors the OUV))</w:t>
      </w:r>
      <w:r w:rsidR="00187ABE">
        <w:rPr>
          <w:rFonts w:ascii="Georgia" w:hAnsi="Georgia"/>
          <w:sz w:val="22"/>
          <w:szCs w:val="22"/>
          <w:lang w:val="en-GB"/>
        </w:rPr>
        <w:t xml:space="preserve"> </w:t>
      </w:r>
      <w:r w:rsidRPr="00187ABE">
        <w:rPr>
          <w:rFonts w:ascii="Georgia" w:hAnsi="Georgia"/>
          <w:sz w:val="22"/>
          <w:szCs w:val="22"/>
          <w:lang w:val="en-GB"/>
        </w:rPr>
        <w:t>of the National Park and its parts is prohibited. § 5 (1) Nr.8 prohibits explicitly the construction and operation of Wind Farms</w:t>
      </w:r>
      <w:r w:rsidR="00B350C5" w:rsidRPr="00187ABE">
        <w:rPr>
          <w:rFonts w:ascii="Georgia" w:hAnsi="Georgia"/>
          <w:sz w:val="22"/>
          <w:szCs w:val="22"/>
          <w:lang w:val="en-GB"/>
        </w:rPr>
        <w:t>.</w:t>
      </w:r>
      <w:r w:rsidR="00F33291" w:rsidRPr="00187ABE">
        <w:rPr>
          <w:rFonts w:ascii="Georgia" w:hAnsi="Georgia"/>
          <w:sz w:val="22"/>
          <w:szCs w:val="22"/>
          <w:lang w:val="en-GB"/>
        </w:rPr>
        <w:t xml:space="preserve"> Generally,</w:t>
      </w:r>
      <w:r w:rsidR="00A86E81" w:rsidRPr="00187ABE">
        <w:rPr>
          <w:rFonts w:ascii="Georgia" w:hAnsi="Georgia"/>
          <w:sz w:val="22"/>
          <w:szCs w:val="22"/>
          <w:lang w:val="en-GB"/>
        </w:rPr>
        <w:t xml:space="preserve"> </w:t>
      </w:r>
      <w:r w:rsidR="00F33291" w:rsidRPr="00187ABE">
        <w:rPr>
          <w:rFonts w:ascii="Georgia" w:hAnsi="Georgia"/>
          <w:sz w:val="22"/>
          <w:szCs w:val="22"/>
          <w:lang w:val="en-GB"/>
        </w:rPr>
        <w:t>the NGOs are being consulted in the process and can comment on the planning documents.</w:t>
      </w:r>
    </w:p>
    <w:p w14:paraId="6A077C9B" w14:textId="2EB18BBC" w:rsidR="000E3F79" w:rsidRPr="00187ABE" w:rsidRDefault="00B350C5" w:rsidP="00187ABE">
      <w:pPr>
        <w:spacing w:after="170" w:line="340" w:lineRule="exact"/>
        <w:rPr>
          <w:rFonts w:ascii="Georgia" w:hAnsi="Georgia"/>
          <w:sz w:val="22"/>
          <w:szCs w:val="22"/>
          <w:lang w:val="en-GB"/>
        </w:rPr>
      </w:pPr>
      <w:r w:rsidRPr="00187ABE">
        <w:rPr>
          <w:rFonts w:ascii="Georgia" w:hAnsi="Georgia"/>
          <w:sz w:val="22"/>
          <w:szCs w:val="22"/>
          <w:lang w:val="en-GB"/>
        </w:rPr>
        <w:t xml:space="preserve">The National Park </w:t>
      </w:r>
      <w:r w:rsidR="009E708F" w:rsidRPr="00187ABE">
        <w:rPr>
          <w:rFonts w:ascii="Georgia" w:hAnsi="Georgia"/>
          <w:sz w:val="22"/>
          <w:szCs w:val="22"/>
          <w:lang w:val="en-GB"/>
        </w:rPr>
        <w:t xml:space="preserve">and its adjacent area </w:t>
      </w:r>
      <w:r w:rsidRPr="00187ABE">
        <w:rPr>
          <w:rFonts w:ascii="Georgia" w:hAnsi="Georgia"/>
          <w:sz w:val="22"/>
          <w:szCs w:val="22"/>
          <w:lang w:val="en-GB"/>
        </w:rPr>
        <w:t xml:space="preserve">is </w:t>
      </w:r>
      <w:r w:rsidR="00166E85" w:rsidRPr="00187ABE">
        <w:rPr>
          <w:rFonts w:ascii="Georgia" w:hAnsi="Georgia"/>
          <w:sz w:val="22"/>
          <w:szCs w:val="22"/>
          <w:lang w:val="en-GB"/>
        </w:rPr>
        <w:t>part of the Natura2000 Networ</w:t>
      </w:r>
      <w:r w:rsidRPr="00187ABE">
        <w:rPr>
          <w:rFonts w:ascii="Georgia" w:hAnsi="Georgia"/>
          <w:sz w:val="22"/>
          <w:szCs w:val="22"/>
          <w:lang w:val="en-GB"/>
        </w:rPr>
        <w:t>k and designated both as</w:t>
      </w:r>
      <w:r w:rsidR="00166E85" w:rsidRPr="00187ABE">
        <w:rPr>
          <w:rFonts w:ascii="Georgia" w:hAnsi="Georgia"/>
          <w:sz w:val="22"/>
          <w:szCs w:val="22"/>
          <w:lang w:val="en-GB"/>
        </w:rPr>
        <w:t xml:space="preserve"> Special Area of Conservation </w:t>
      </w:r>
      <w:r w:rsidR="009E708F" w:rsidRPr="00187ABE">
        <w:rPr>
          <w:rFonts w:ascii="Georgia" w:hAnsi="Georgia"/>
          <w:sz w:val="22"/>
          <w:szCs w:val="22"/>
          <w:lang w:val="en-GB"/>
        </w:rPr>
        <w:t xml:space="preserve">(NTP SH Wattenmeer und angrenzende Küstengebiete) </w:t>
      </w:r>
      <w:r w:rsidR="00166E85" w:rsidRPr="00187ABE">
        <w:rPr>
          <w:rFonts w:ascii="Georgia" w:hAnsi="Georgia"/>
          <w:sz w:val="22"/>
          <w:szCs w:val="22"/>
          <w:lang w:val="en-GB"/>
        </w:rPr>
        <w:t>and Special Protected Area</w:t>
      </w:r>
      <w:r w:rsidR="009E708F" w:rsidRPr="00187ABE">
        <w:rPr>
          <w:rFonts w:ascii="Georgia" w:hAnsi="Georgia"/>
          <w:sz w:val="22"/>
          <w:szCs w:val="22"/>
          <w:lang w:val="en-GB"/>
        </w:rPr>
        <w:t xml:space="preserve"> (Ramsargebiet SH Wattenmeer und angrenzende Küstengebiete)</w:t>
      </w:r>
      <w:r w:rsidRPr="00187ABE">
        <w:rPr>
          <w:rFonts w:ascii="Georgia" w:hAnsi="Georgia"/>
          <w:sz w:val="22"/>
          <w:szCs w:val="22"/>
          <w:lang w:val="en-GB"/>
        </w:rPr>
        <w:t>. The main</w:t>
      </w:r>
      <w:r w:rsidR="00166E85" w:rsidRPr="00187ABE">
        <w:rPr>
          <w:rFonts w:ascii="Georgia" w:hAnsi="Georgia"/>
          <w:sz w:val="22"/>
          <w:szCs w:val="22"/>
          <w:lang w:val="en-GB"/>
        </w:rPr>
        <w:t xml:space="preserve"> conservation objectiv</w:t>
      </w:r>
      <w:r w:rsidR="009E708F" w:rsidRPr="00187ABE">
        <w:rPr>
          <w:rFonts w:ascii="Georgia" w:hAnsi="Georgia"/>
          <w:sz w:val="22"/>
          <w:szCs w:val="22"/>
          <w:lang w:val="en-GB"/>
        </w:rPr>
        <w:t>e of the SAC and SPA is</w:t>
      </w:r>
      <w:r w:rsidRPr="00187ABE">
        <w:rPr>
          <w:rFonts w:ascii="Georgia" w:hAnsi="Georgia"/>
          <w:sz w:val="22"/>
          <w:szCs w:val="22"/>
          <w:lang w:val="en-GB"/>
        </w:rPr>
        <w:t xml:space="preserve"> to maintain that natural processes may oc</w:t>
      </w:r>
      <w:r w:rsidR="009E708F" w:rsidRPr="00187ABE">
        <w:rPr>
          <w:rFonts w:ascii="Georgia" w:hAnsi="Georgia"/>
          <w:sz w:val="22"/>
          <w:szCs w:val="22"/>
          <w:lang w:val="en-GB"/>
        </w:rPr>
        <w:t>cur in a mostly undisturbed way</w:t>
      </w:r>
      <w:r w:rsidRPr="00187ABE">
        <w:rPr>
          <w:rFonts w:ascii="Georgia" w:hAnsi="Georgia"/>
          <w:sz w:val="22"/>
          <w:szCs w:val="22"/>
          <w:lang w:val="en-GB"/>
        </w:rPr>
        <w:t xml:space="preserve">. Furthermore, </w:t>
      </w:r>
      <w:r w:rsidR="009E708F" w:rsidRPr="00187ABE">
        <w:rPr>
          <w:rFonts w:ascii="Georgia" w:hAnsi="Georgia"/>
          <w:sz w:val="22"/>
          <w:szCs w:val="22"/>
          <w:lang w:val="en-GB"/>
        </w:rPr>
        <w:t xml:space="preserve">conservation targets concerning different species of waterbirds, marine mammals, fish and habitat types are defined, being published by the Ministry for the environment. Whenever a project is </w:t>
      </w:r>
      <w:r w:rsidR="000E3F79" w:rsidRPr="00187ABE">
        <w:rPr>
          <w:rFonts w:ascii="Georgia" w:hAnsi="Georgia"/>
          <w:sz w:val="22"/>
          <w:szCs w:val="22"/>
          <w:lang w:val="en-GB"/>
        </w:rPr>
        <w:t>applying</w:t>
      </w:r>
      <w:r w:rsidR="009E708F" w:rsidRPr="00187ABE">
        <w:rPr>
          <w:rFonts w:ascii="Georgia" w:hAnsi="Georgia"/>
          <w:sz w:val="22"/>
          <w:szCs w:val="22"/>
          <w:lang w:val="en-GB"/>
        </w:rPr>
        <w:t xml:space="preserve"> for a permission which might have an impact on the SAC or the SPA</w:t>
      </w:r>
      <w:r w:rsidR="000E3F79" w:rsidRPr="00187ABE">
        <w:rPr>
          <w:rFonts w:ascii="Georgia" w:hAnsi="Georgia"/>
          <w:sz w:val="22"/>
          <w:szCs w:val="22"/>
          <w:lang w:val="en-GB"/>
        </w:rPr>
        <w:t xml:space="preserve">, it is mandatory that an appropriate assessment acc. to §34 BNatSchG is </w:t>
      </w:r>
      <w:r w:rsidR="000E3F79" w:rsidRPr="00187ABE">
        <w:rPr>
          <w:rFonts w:ascii="Georgia" w:hAnsi="Georgia"/>
          <w:sz w:val="22"/>
          <w:szCs w:val="22"/>
          <w:lang w:val="en-GB"/>
        </w:rPr>
        <w:lastRenderedPageBreak/>
        <w:t xml:space="preserve">carried out which describes and assesses the potential impact of the project regarding the conservation targets. </w:t>
      </w:r>
    </w:p>
    <w:p w14:paraId="22ADB420" w14:textId="77777777" w:rsidR="000E3F79" w:rsidRPr="00187ABE" w:rsidRDefault="000E3F79" w:rsidP="00187ABE">
      <w:pPr>
        <w:spacing w:after="170" w:line="340" w:lineRule="exact"/>
        <w:rPr>
          <w:rFonts w:ascii="Georgia" w:hAnsi="Georgia"/>
          <w:sz w:val="22"/>
          <w:szCs w:val="22"/>
          <w:lang w:val="en-GB"/>
        </w:rPr>
      </w:pPr>
      <w:r w:rsidRPr="00187ABE">
        <w:rPr>
          <w:rFonts w:ascii="Georgia" w:hAnsi="Georgia"/>
          <w:sz w:val="22"/>
          <w:szCs w:val="22"/>
          <w:lang w:val="en-GB"/>
        </w:rPr>
        <w:t>Moreover, it has to be assessed if the project is possible regarding the provisions of the National Park Act (when it is envisaged to be realized within the boundaries of the National Park proper).</w:t>
      </w:r>
      <w:r w:rsidR="009E708F" w:rsidRPr="00187ABE">
        <w:rPr>
          <w:rFonts w:ascii="Georgia" w:hAnsi="Georgia"/>
          <w:sz w:val="22"/>
          <w:szCs w:val="22"/>
          <w:lang w:val="en-GB"/>
        </w:rPr>
        <w:t xml:space="preserve"> </w:t>
      </w:r>
      <w:r w:rsidRPr="00187ABE">
        <w:rPr>
          <w:rFonts w:ascii="Georgia" w:hAnsi="Georgia"/>
          <w:sz w:val="22"/>
          <w:szCs w:val="22"/>
          <w:lang w:val="en-GB"/>
        </w:rPr>
        <w:t>The construction of Wind turbines is explicitly prohibited (see above).</w:t>
      </w:r>
    </w:p>
    <w:p w14:paraId="379CE9E7" w14:textId="7147F5F3" w:rsidR="00A86E81" w:rsidRPr="00187ABE" w:rsidRDefault="00A86E81" w:rsidP="00187ABE">
      <w:pPr>
        <w:spacing w:after="170" w:line="340" w:lineRule="exact"/>
        <w:rPr>
          <w:rFonts w:ascii="Georgia" w:hAnsi="Georgia"/>
          <w:sz w:val="22"/>
          <w:szCs w:val="22"/>
          <w:u w:val="single"/>
          <w:lang w:val="en-GB"/>
        </w:rPr>
      </w:pPr>
      <w:r w:rsidRPr="00187ABE">
        <w:rPr>
          <w:rFonts w:ascii="Georgia" w:hAnsi="Georgia"/>
          <w:sz w:val="22"/>
          <w:szCs w:val="22"/>
          <w:lang w:val="en-GB"/>
        </w:rPr>
        <w:t xml:space="preserve">When licenses regarding the laying of high-voltage power cables are issued, avoidance and </w:t>
      </w:r>
      <w:r w:rsidRPr="00187ABE">
        <w:rPr>
          <w:rFonts w:ascii="Georgia" w:hAnsi="Georgia"/>
          <w:sz w:val="22"/>
          <w:szCs w:val="22"/>
          <w:u w:val="single"/>
          <w:lang w:val="en-GB"/>
        </w:rPr>
        <w:t>m</w:t>
      </w:r>
      <w:r w:rsidR="00D55857" w:rsidRPr="00187ABE">
        <w:rPr>
          <w:rFonts w:ascii="Georgia" w:hAnsi="Georgia"/>
          <w:sz w:val="22"/>
          <w:szCs w:val="22"/>
          <w:u w:val="single"/>
          <w:lang w:val="en-GB"/>
        </w:rPr>
        <w:t>itigation measures</w:t>
      </w:r>
      <w:r w:rsidRPr="00187ABE">
        <w:rPr>
          <w:rFonts w:ascii="Georgia" w:hAnsi="Georgia"/>
          <w:sz w:val="22"/>
          <w:szCs w:val="22"/>
          <w:u w:val="single"/>
          <w:lang w:val="en-GB"/>
        </w:rPr>
        <w:t xml:space="preserve"> are part of the permits. First of all, the cable corridor with the least impact on the environment is identified after a thorough assessment of alternatives. In the case of the Wadden Sea area of Schleswig-Holstein, this corridor has been identified and incorporated in the spatial planning documents (see above). </w:t>
      </w:r>
    </w:p>
    <w:p w14:paraId="64F9B0CE" w14:textId="2BD1C1CF" w:rsidR="00D55857" w:rsidRPr="00187ABE" w:rsidRDefault="00497F30" w:rsidP="00187ABE">
      <w:pPr>
        <w:spacing w:after="170" w:line="340" w:lineRule="exact"/>
        <w:rPr>
          <w:rFonts w:ascii="Georgia" w:hAnsi="Georgia"/>
          <w:sz w:val="22"/>
          <w:szCs w:val="22"/>
          <w:lang w:val="en-GB"/>
        </w:rPr>
      </w:pPr>
      <w:r w:rsidRPr="00187ABE">
        <w:rPr>
          <w:rFonts w:ascii="Georgia" w:hAnsi="Georgia"/>
          <w:sz w:val="22"/>
          <w:szCs w:val="22"/>
          <w:lang w:val="en-GB"/>
        </w:rPr>
        <w:t>Concerning</w:t>
      </w:r>
      <w:r w:rsidR="00A86E81" w:rsidRPr="00187ABE">
        <w:rPr>
          <w:rFonts w:ascii="Georgia" w:hAnsi="Georgia"/>
          <w:sz w:val="22"/>
          <w:szCs w:val="22"/>
          <w:lang w:val="en-GB"/>
        </w:rPr>
        <w:t xml:space="preserve"> the </w:t>
      </w:r>
      <w:r w:rsidRPr="00187ABE">
        <w:rPr>
          <w:rFonts w:ascii="Georgia" w:hAnsi="Georgia"/>
          <w:sz w:val="22"/>
          <w:szCs w:val="22"/>
          <w:lang w:val="en-GB"/>
        </w:rPr>
        <w:t>c</w:t>
      </w:r>
      <w:r w:rsidR="00D55857" w:rsidRPr="00187ABE">
        <w:rPr>
          <w:rFonts w:ascii="Georgia" w:hAnsi="Georgia"/>
          <w:sz w:val="22"/>
          <w:szCs w:val="22"/>
          <w:lang w:val="en-GB"/>
        </w:rPr>
        <w:t>able laying</w:t>
      </w:r>
      <w:r w:rsidR="00A86E81" w:rsidRPr="00187ABE">
        <w:rPr>
          <w:rFonts w:ascii="Georgia" w:hAnsi="Georgia"/>
          <w:sz w:val="22"/>
          <w:szCs w:val="22"/>
          <w:lang w:val="en-GB"/>
        </w:rPr>
        <w:t xml:space="preserve"> as such,</w:t>
      </w:r>
      <w:r w:rsidRPr="00187ABE">
        <w:rPr>
          <w:rFonts w:ascii="Georgia" w:hAnsi="Georgia"/>
          <w:sz w:val="22"/>
          <w:szCs w:val="22"/>
          <w:lang w:val="en-GB"/>
        </w:rPr>
        <w:t xml:space="preserve"> </w:t>
      </w:r>
      <w:r w:rsidR="00D55857" w:rsidRPr="00187ABE">
        <w:rPr>
          <w:rFonts w:ascii="Georgia" w:hAnsi="Georgia"/>
          <w:sz w:val="22"/>
          <w:szCs w:val="22"/>
          <w:lang w:val="en-GB"/>
        </w:rPr>
        <w:t>best available techniques to minimize effects on soil, habitats, benthic organisms, birds, mammals</w:t>
      </w:r>
      <w:r w:rsidR="00A86E81" w:rsidRPr="00187ABE">
        <w:rPr>
          <w:rFonts w:ascii="Georgia" w:hAnsi="Georgia"/>
          <w:sz w:val="22"/>
          <w:szCs w:val="22"/>
          <w:lang w:val="en-GB"/>
        </w:rPr>
        <w:t xml:space="preserve"> are identified and have to be applied.</w:t>
      </w:r>
    </w:p>
    <w:p w14:paraId="59060A3B" w14:textId="70B36841" w:rsidR="00F84AB0" w:rsidRPr="00187ABE" w:rsidRDefault="00A86E81" w:rsidP="00187ABE">
      <w:pPr>
        <w:spacing w:after="170" w:line="340" w:lineRule="exact"/>
        <w:rPr>
          <w:rFonts w:ascii="Georgia" w:hAnsi="Georgia"/>
          <w:sz w:val="22"/>
          <w:szCs w:val="22"/>
          <w:lang w:val="en-GB"/>
        </w:rPr>
      </w:pPr>
      <w:r w:rsidRPr="00187ABE">
        <w:rPr>
          <w:rFonts w:ascii="Georgia" w:hAnsi="Georgia"/>
          <w:sz w:val="22"/>
          <w:szCs w:val="22"/>
          <w:lang w:val="en-GB"/>
        </w:rPr>
        <w:t xml:space="preserve">The so-called </w:t>
      </w:r>
      <w:r w:rsidR="00F84AB0" w:rsidRPr="00187ABE">
        <w:rPr>
          <w:rFonts w:ascii="Georgia" w:hAnsi="Georgia"/>
          <w:sz w:val="22"/>
          <w:szCs w:val="22"/>
          <w:lang w:val="en-GB"/>
        </w:rPr>
        <w:t>2K-criterion</w:t>
      </w:r>
      <w:r w:rsidRPr="00187ABE">
        <w:rPr>
          <w:rFonts w:ascii="Georgia" w:hAnsi="Georgia"/>
          <w:sz w:val="22"/>
          <w:szCs w:val="22"/>
          <w:lang w:val="en-GB"/>
        </w:rPr>
        <w:t xml:space="preserve"> defines that the seafloor in 30cm depth shall not be heated more tha</w:t>
      </w:r>
      <w:r w:rsidR="00187ABE">
        <w:rPr>
          <w:rFonts w:ascii="Georgia" w:hAnsi="Georgia"/>
          <w:sz w:val="22"/>
          <w:szCs w:val="22"/>
          <w:lang w:val="en-GB"/>
        </w:rPr>
        <w:t>n</w:t>
      </w:r>
      <w:r w:rsidRPr="00187ABE">
        <w:rPr>
          <w:rFonts w:ascii="Georgia" w:hAnsi="Georgia"/>
          <w:sz w:val="22"/>
          <w:szCs w:val="22"/>
          <w:lang w:val="en-GB"/>
        </w:rPr>
        <w:t xml:space="preserve"> 2K C due to the heat loss of the cable systems in order to prevent changes in geophysical traits or the benthic ecosystem. Permit holders are obliged to prove this via a monitoring at representative sites.</w:t>
      </w:r>
    </w:p>
    <w:p w14:paraId="5A00A933" w14:textId="29B81EFD" w:rsidR="00D55857" w:rsidRPr="00187ABE" w:rsidRDefault="00A86E81" w:rsidP="00187ABE">
      <w:pPr>
        <w:spacing w:after="170" w:line="340" w:lineRule="exact"/>
        <w:rPr>
          <w:rFonts w:ascii="Georgia" w:hAnsi="Georgia"/>
          <w:sz w:val="22"/>
          <w:szCs w:val="22"/>
          <w:lang w:val="en-GB"/>
        </w:rPr>
      </w:pPr>
      <w:r w:rsidRPr="00187ABE">
        <w:rPr>
          <w:rFonts w:ascii="Georgia" w:hAnsi="Georgia"/>
          <w:sz w:val="22"/>
          <w:szCs w:val="22"/>
          <w:lang w:val="en-GB"/>
        </w:rPr>
        <w:t>A t</w:t>
      </w:r>
      <w:r w:rsidR="00D55857" w:rsidRPr="00187ABE">
        <w:rPr>
          <w:rFonts w:ascii="Georgia" w:hAnsi="Georgia"/>
          <w:sz w:val="22"/>
          <w:szCs w:val="22"/>
          <w:lang w:val="en-GB"/>
        </w:rPr>
        <w:t xml:space="preserve">ime frame for the cable laying </w:t>
      </w:r>
      <w:r w:rsidRPr="00187ABE">
        <w:rPr>
          <w:rFonts w:ascii="Georgia" w:hAnsi="Georgia"/>
          <w:sz w:val="22"/>
          <w:szCs w:val="22"/>
          <w:lang w:val="en-GB"/>
        </w:rPr>
        <w:t>is also determined, which ensures that the disturbance of animals such as breeding, moulting or roosting birds and marine mammals such as seals and harbour porpoises are restricted to a minimum.</w:t>
      </w:r>
      <w:r w:rsidR="003F7789" w:rsidRPr="00187ABE">
        <w:rPr>
          <w:rFonts w:ascii="Georgia" w:hAnsi="Georgia"/>
          <w:sz w:val="22"/>
          <w:szCs w:val="22"/>
          <w:lang w:val="en-GB"/>
        </w:rPr>
        <w:t xml:space="preserve"> Licenses so far have been issued for three high-voltage grid connection systems (HelWin1, HelWin2, SylWin1) which connect offshore wind farms with the mainland via the so-called Büsumtrasse. Furthermore, Nord.Link, a 525kV HVDC grid connection between Norway and Germany is traversing the National Park in parallel with </w:t>
      </w:r>
      <w:r w:rsidR="00187ABE" w:rsidRPr="00187ABE">
        <w:rPr>
          <w:rFonts w:ascii="Georgia" w:hAnsi="Georgia"/>
          <w:sz w:val="22"/>
          <w:szCs w:val="22"/>
          <w:lang w:val="en-GB"/>
        </w:rPr>
        <w:t>these three 380kV grid connections</w:t>
      </w:r>
      <w:r w:rsidR="003F7789" w:rsidRPr="00187ABE">
        <w:rPr>
          <w:rFonts w:ascii="Georgia" w:hAnsi="Georgia"/>
          <w:sz w:val="22"/>
          <w:szCs w:val="22"/>
          <w:lang w:val="en-GB"/>
        </w:rPr>
        <w:t xml:space="preserve"> systems. The high-voltage DC link will enable the exchange of 1,400 megawatts of renewable energy</w:t>
      </w:r>
      <w:r w:rsidR="00187ABE">
        <w:rPr>
          <w:rFonts w:ascii="Georgia" w:hAnsi="Georgia"/>
          <w:sz w:val="22"/>
          <w:szCs w:val="22"/>
          <w:lang w:val="en-GB"/>
        </w:rPr>
        <w:t>-</w:t>
      </w:r>
      <w:r w:rsidR="003F7789" w:rsidRPr="00187ABE">
        <w:rPr>
          <w:rFonts w:ascii="Georgia" w:hAnsi="Georgia"/>
          <w:sz w:val="22"/>
          <w:szCs w:val="22"/>
          <w:lang w:val="en-GB"/>
        </w:rPr>
        <w:t>wind power from Germany and hydropower from Norway.</w:t>
      </w:r>
    </w:p>
    <w:p w14:paraId="4BD735A4" w14:textId="5497005B" w:rsidR="000768BD" w:rsidRPr="00187ABE" w:rsidRDefault="001E6AEA" w:rsidP="00187ABE">
      <w:pPr>
        <w:pStyle w:val="3subheadings"/>
      </w:pPr>
      <w:r>
        <w:t xml:space="preserve">5.1.2 </w:t>
      </w:r>
      <w:r w:rsidR="000768BD" w:rsidRPr="00187ABE">
        <w:t>Lower Saxony</w:t>
      </w:r>
    </w:p>
    <w:p w14:paraId="05F9DB5E" w14:textId="3031ABDE" w:rsidR="000768BD" w:rsidRDefault="001E6AEA" w:rsidP="00187ABE">
      <w:pPr>
        <w:pStyle w:val="3subheadings"/>
      </w:pPr>
      <w:r>
        <w:t xml:space="preserve">5.1.3 </w:t>
      </w:r>
      <w:r w:rsidR="000768BD" w:rsidRPr="00187ABE">
        <w:t>Hamburg</w:t>
      </w:r>
    </w:p>
    <w:p w14:paraId="7C9B21D6" w14:textId="298D27EC" w:rsidR="00F604BE" w:rsidRPr="006B3980" w:rsidRDefault="00F604BE" w:rsidP="006B3980">
      <w:pPr>
        <w:spacing w:after="170" w:line="340" w:lineRule="exact"/>
        <w:rPr>
          <w:rFonts w:ascii="Georgia" w:hAnsi="Georgia"/>
          <w:color w:val="808080" w:themeColor="background1" w:themeShade="80"/>
          <w:sz w:val="22"/>
          <w:szCs w:val="22"/>
          <w:lang w:val="en-GB"/>
        </w:rPr>
      </w:pPr>
      <w:r w:rsidRPr="006B3980">
        <w:rPr>
          <w:rFonts w:ascii="Georgia" w:hAnsi="Georgia"/>
          <w:color w:val="808080" w:themeColor="background1" w:themeShade="80"/>
          <w:sz w:val="22"/>
          <w:szCs w:val="22"/>
          <w:lang w:val="en-GB"/>
        </w:rPr>
        <w:t>[</w:t>
      </w:r>
      <w:r w:rsidR="006B3980" w:rsidRPr="006B3980">
        <w:rPr>
          <w:rFonts w:ascii="Georgia" w:hAnsi="Georgia"/>
          <w:color w:val="808080" w:themeColor="background1" w:themeShade="80"/>
          <w:sz w:val="22"/>
          <w:szCs w:val="22"/>
          <w:lang w:val="en-GB"/>
        </w:rPr>
        <w:t xml:space="preserve">Note: </w:t>
      </w:r>
      <w:r w:rsidRPr="006B3980">
        <w:rPr>
          <w:rFonts w:ascii="Georgia" w:hAnsi="Georgia"/>
          <w:color w:val="808080" w:themeColor="background1" w:themeShade="80"/>
          <w:sz w:val="22"/>
          <w:szCs w:val="22"/>
          <w:lang w:val="en-GB"/>
        </w:rPr>
        <w:t>Task in progress</w:t>
      </w:r>
      <w:r w:rsidR="006B3980" w:rsidRPr="006B3980">
        <w:rPr>
          <w:rFonts w:ascii="Georgia" w:hAnsi="Georgia"/>
          <w:color w:val="808080" w:themeColor="background1" w:themeShade="80"/>
          <w:sz w:val="22"/>
          <w:szCs w:val="22"/>
          <w:lang w:val="en-GB"/>
        </w:rPr>
        <w:t xml:space="preserve"> to </w:t>
      </w:r>
      <w:r w:rsidRPr="006B3980">
        <w:rPr>
          <w:rFonts w:ascii="Georgia" w:hAnsi="Georgia"/>
          <w:color w:val="808080" w:themeColor="background1" w:themeShade="80"/>
          <w:sz w:val="22"/>
          <w:szCs w:val="22"/>
          <w:lang w:val="en-GB"/>
        </w:rPr>
        <w:t>add regulations from National park acts regarding wind farms and information on licensing procedures (LS)]</w:t>
      </w:r>
    </w:p>
    <w:p w14:paraId="7946ACF6" w14:textId="58A93553" w:rsidR="000768BD" w:rsidRDefault="000768BD" w:rsidP="00C813CE">
      <w:pPr>
        <w:rPr>
          <w:lang w:val="en-GB"/>
        </w:rPr>
      </w:pPr>
    </w:p>
    <w:p w14:paraId="6E6F9268" w14:textId="007403A6" w:rsidR="000768BD" w:rsidRDefault="001E6AEA" w:rsidP="00187ABE">
      <w:pPr>
        <w:pStyle w:val="3subheadings"/>
        <w:rPr>
          <w:lang w:val="en-GB"/>
        </w:rPr>
      </w:pPr>
      <w:r>
        <w:rPr>
          <w:lang w:val="en-GB"/>
        </w:rPr>
        <w:t xml:space="preserve">5.2 </w:t>
      </w:r>
      <w:r w:rsidR="000768BD" w:rsidRPr="000768BD">
        <w:rPr>
          <w:lang w:val="en-GB"/>
        </w:rPr>
        <w:t>The Netherlands</w:t>
      </w:r>
    </w:p>
    <w:p w14:paraId="08BA6950" w14:textId="6368B661" w:rsidR="0067362B" w:rsidRPr="006B3980" w:rsidRDefault="0067362B" w:rsidP="006B3980">
      <w:pPr>
        <w:spacing w:after="170" w:line="340" w:lineRule="exact"/>
        <w:rPr>
          <w:rFonts w:ascii="Georgia" w:hAnsi="Georgia"/>
          <w:sz w:val="22"/>
          <w:szCs w:val="22"/>
          <w:lang w:val="en-GB"/>
        </w:rPr>
      </w:pPr>
      <w:r w:rsidRPr="006B3980">
        <w:rPr>
          <w:rFonts w:ascii="Georgia" w:hAnsi="Georgia"/>
          <w:sz w:val="22"/>
          <w:szCs w:val="22"/>
          <w:lang w:val="en-GB"/>
        </w:rPr>
        <w:t xml:space="preserve">The complete effect analyses for the windfarm at sea north of the Wadden Sea islands </w:t>
      </w:r>
      <w:r w:rsidR="001F14D3" w:rsidRPr="006B3980">
        <w:rPr>
          <w:rFonts w:ascii="Georgia" w:hAnsi="Georgia"/>
          <w:sz w:val="22"/>
          <w:szCs w:val="22"/>
          <w:lang w:val="en-GB"/>
        </w:rPr>
        <w:t>was published at the 8</w:t>
      </w:r>
      <w:r w:rsidR="001F14D3" w:rsidRPr="006B3980">
        <w:rPr>
          <w:rFonts w:ascii="Georgia" w:hAnsi="Georgia"/>
          <w:sz w:val="22"/>
          <w:szCs w:val="22"/>
          <w:vertAlign w:val="superscript"/>
          <w:lang w:val="en-GB"/>
        </w:rPr>
        <w:t>th</w:t>
      </w:r>
      <w:r w:rsidR="001F14D3" w:rsidRPr="006B3980">
        <w:rPr>
          <w:rFonts w:ascii="Georgia" w:hAnsi="Georgia"/>
          <w:sz w:val="22"/>
          <w:szCs w:val="22"/>
          <w:lang w:val="en-GB"/>
        </w:rPr>
        <w:t xml:space="preserve"> of June. The minister of EZK is expected to choose preferred alternative by the end of </w:t>
      </w:r>
      <w:r w:rsidR="00F604BE" w:rsidRPr="006B3980">
        <w:rPr>
          <w:rFonts w:ascii="Georgia" w:hAnsi="Georgia"/>
          <w:sz w:val="22"/>
          <w:szCs w:val="22"/>
          <w:lang w:val="en-GB"/>
        </w:rPr>
        <w:t>Oc</w:t>
      </w:r>
      <w:r w:rsidR="001F14D3" w:rsidRPr="006B3980">
        <w:rPr>
          <w:rFonts w:ascii="Georgia" w:hAnsi="Georgia"/>
          <w:sz w:val="22"/>
          <w:szCs w:val="22"/>
          <w:lang w:val="en-GB"/>
        </w:rPr>
        <w:t>tober</w:t>
      </w:r>
      <w:r w:rsidR="00F604BE" w:rsidRPr="006B3980">
        <w:rPr>
          <w:rFonts w:ascii="Georgia" w:hAnsi="Georgia"/>
          <w:sz w:val="22"/>
          <w:szCs w:val="22"/>
          <w:lang w:val="en-GB"/>
        </w:rPr>
        <w:t xml:space="preserve"> 2020</w:t>
      </w:r>
      <w:r w:rsidR="001F14D3" w:rsidRPr="006B3980">
        <w:rPr>
          <w:rFonts w:ascii="Georgia" w:hAnsi="Georgia"/>
          <w:sz w:val="22"/>
          <w:szCs w:val="22"/>
          <w:lang w:val="en-GB"/>
        </w:rPr>
        <w:t xml:space="preserve">. </w:t>
      </w:r>
    </w:p>
    <w:p w14:paraId="348E4F5C" w14:textId="570424EB" w:rsidR="000768BD" w:rsidRPr="000768BD" w:rsidRDefault="001E6AEA" w:rsidP="00187ABE">
      <w:pPr>
        <w:pStyle w:val="3subheadings"/>
        <w:rPr>
          <w:lang w:val="en-GB"/>
        </w:rPr>
      </w:pPr>
      <w:r>
        <w:rPr>
          <w:lang w:val="en-GB"/>
        </w:rPr>
        <w:t xml:space="preserve">5.3 </w:t>
      </w:r>
      <w:r w:rsidR="000768BD">
        <w:rPr>
          <w:lang w:val="en-GB"/>
        </w:rPr>
        <w:t>Denmark</w:t>
      </w:r>
    </w:p>
    <w:p w14:paraId="70A6E962" w14:textId="3A507F70" w:rsidR="00A86E81" w:rsidRPr="006B3980" w:rsidRDefault="00F604BE" w:rsidP="006B3980">
      <w:pPr>
        <w:spacing w:after="170" w:line="340" w:lineRule="exact"/>
        <w:rPr>
          <w:rFonts w:ascii="Georgia" w:hAnsi="Georgia"/>
          <w:color w:val="808080" w:themeColor="background1" w:themeShade="80"/>
          <w:sz w:val="22"/>
          <w:szCs w:val="22"/>
          <w:lang w:val="en-GB"/>
        </w:rPr>
      </w:pPr>
      <w:r w:rsidRPr="006B3980">
        <w:rPr>
          <w:rFonts w:ascii="Georgia" w:hAnsi="Georgia"/>
          <w:color w:val="808080" w:themeColor="background1" w:themeShade="80"/>
          <w:sz w:val="22"/>
          <w:szCs w:val="22"/>
          <w:lang w:val="en-GB"/>
        </w:rPr>
        <w:t>[</w:t>
      </w:r>
      <w:r w:rsidR="006B3980" w:rsidRPr="006B3980">
        <w:rPr>
          <w:rFonts w:ascii="Georgia" w:hAnsi="Georgia"/>
          <w:color w:val="808080" w:themeColor="background1" w:themeShade="80"/>
          <w:sz w:val="22"/>
          <w:szCs w:val="22"/>
          <w:lang w:val="en-GB"/>
        </w:rPr>
        <w:t xml:space="preserve">Note: </w:t>
      </w:r>
      <w:r w:rsidRPr="006B3980">
        <w:rPr>
          <w:rFonts w:ascii="Georgia" w:hAnsi="Georgia"/>
          <w:color w:val="808080" w:themeColor="background1" w:themeShade="80"/>
          <w:sz w:val="22"/>
          <w:szCs w:val="22"/>
          <w:lang w:val="en-GB"/>
        </w:rPr>
        <w:t>Task in progress</w:t>
      </w:r>
      <w:r w:rsidR="006B3980" w:rsidRPr="006B3980">
        <w:rPr>
          <w:rFonts w:ascii="Georgia" w:hAnsi="Georgia"/>
          <w:color w:val="808080" w:themeColor="background1" w:themeShade="80"/>
          <w:sz w:val="22"/>
          <w:szCs w:val="22"/>
          <w:lang w:val="en-GB"/>
        </w:rPr>
        <w:t xml:space="preserve"> to</w:t>
      </w:r>
      <w:r w:rsidRPr="006B3980">
        <w:rPr>
          <w:rFonts w:ascii="Georgia" w:hAnsi="Georgia"/>
          <w:color w:val="808080" w:themeColor="background1" w:themeShade="80"/>
          <w:sz w:val="22"/>
          <w:szCs w:val="22"/>
          <w:lang w:val="en-GB"/>
        </w:rPr>
        <w:t xml:space="preserve"> add comparable information about the legislation in place DK which is applied in the licensing procedueres (EIA, HD,..) Concrete regulations concerning the WS WH site in your country (what is mentioned in the statutory order and/or provide a link, if possible)]</w:t>
      </w:r>
    </w:p>
    <w:p w14:paraId="18B8FB2C" w14:textId="15CB793A" w:rsidR="00492D88" w:rsidRDefault="00492D88" w:rsidP="00F604BE">
      <w:pPr>
        <w:spacing w:after="170" w:line="340" w:lineRule="exact"/>
        <w:rPr>
          <w:rFonts w:ascii="Georgia" w:hAnsi="Georgia"/>
          <w:sz w:val="22"/>
          <w:szCs w:val="22"/>
          <w:u w:val="single"/>
          <w:lang w:val="en-GB"/>
        </w:rPr>
      </w:pPr>
      <w:r w:rsidRPr="00F604BE">
        <w:rPr>
          <w:rFonts w:ascii="Georgia" w:hAnsi="Georgia"/>
          <w:sz w:val="22"/>
          <w:szCs w:val="22"/>
          <w:u w:val="single"/>
          <w:lang w:val="en-GB"/>
        </w:rPr>
        <w:lastRenderedPageBreak/>
        <w:t>Impact on the environment</w:t>
      </w:r>
    </w:p>
    <w:p w14:paraId="39F659EC" w14:textId="597501E7" w:rsidR="006B3980" w:rsidRPr="006B3980" w:rsidRDefault="006B3980" w:rsidP="00F604BE">
      <w:pPr>
        <w:spacing w:after="170" w:line="340" w:lineRule="exact"/>
        <w:rPr>
          <w:rFonts w:ascii="Georgia" w:hAnsi="Georgia"/>
          <w:color w:val="808080" w:themeColor="background1" w:themeShade="80"/>
          <w:sz w:val="22"/>
          <w:szCs w:val="22"/>
          <w:lang w:val="en-GB"/>
        </w:rPr>
      </w:pPr>
      <w:r w:rsidRPr="006B3980">
        <w:rPr>
          <w:rFonts w:ascii="Georgia" w:hAnsi="Georgia"/>
          <w:color w:val="808080" w:themeColor="background1" w:themeShade="80"/>
          <w:sz w:val="22"/>
          <w:szCs w:val="22"/>
          <w:lang w:val="en-GB"/>
        </w:rPr>
        <w:t>[Note: To be discussed</w:t>
      </w:r>
      <w:r>
        <w:rPr>
          <w:rFonts w:ascii="Georgia" w:hAnsi="Georgia"/>
          <w:color w:val="808080" w:themeColor="background1" w:themeShade="80"/>
          <w:sz w:val="22"/>
          <w:szCs w:val="22"/>
          <w:lang w:val="en-GB"/>
        </w:rPr>
        <w:t xml:space="preserve"> if</w:t>
      </w:r>
      <w:r w:rsidRPr="006B3980">
        <w:rPr>
          <w:rFonts w:ascii="Georgia" w:hAnsi="Georgia"/>
          <w:color w:val="808080" w:themeColor="background1" w:themeShade="80"/>
          <w:sz w:val="22"/>
          <w:szCs w:val="22"/>
          <w:lang w:val="en-GB"/>
        </w:rPr>
        <w:t xml:space="preserve"> we need a para on visibility (impairment of Landscape)]</w:t>
      </w:r>
    </w:p>
    <w:p w14:paraId="7E6D7270" w14:textId="033B9494" w:rsidR="00A90D25" w:rsidRPr="00F604BE" w:rsidRDefault="00A90D25" w:rsidP="00F604BE">
      <w:pPr>
        <w:spacing w:after="170" w:line="340" w:lineRule="exact"/>
        <w:rPr>
          <w:rFonts w:ascii="Georgia" w:hAnsi="Georgia"/>
          <w:sz w:val="22"/>
          <w:szCs w:val="22"/>
        </w:rPr>
      </w:pPr>
      <w:r w:rsidRPr="00F604BE">
        <w:rPr>
          <w:rFonts w:ascii="Georgia" w:hAnsi="Georgia"/>
          <w:sz w:val="22"/>
          <w:szCs w:val="22"/>
          <w:lang w:val="en-GB"/>
        </w:rPr>
        <w:t>Impacts arise throughout the life cycle of marine renewable developments, including: site selection, construction, operation, decommissioning and removal. Impacts include the effects of noise on marine mammals and fish, disturbance and loss of habitats, bird collisions and visual intrusion. Marine renewables can also interfere with other uses of the sea – causing hazards to shipping and the servicing of the offshore industry, and displacing fishing activities and recreational boating. There may also be conflict with marine conservation objectives (OSPAR 2020).</w:t>
      </w:r>
    </w:p>
    <w:p w14:paraId="76A9A205" w14:textId="752BF204" w:rsidR="00A90D25" w:rsidRPr="00F604BE" w:rsidRDefault="00492D88" w:rsidP="00F604BE">
      <w:pPr>
        <w:spacing w:after="170" w:line="340" w:lineRule="exact"/>
        <w:rPr>
          <w:rFonts w:ascii="Georgia" w:hAnsi="Georgia"/>
          <w:sz w:val="22"/>
          <w:szCs w:val="22"/>
        </w:rPr>
      </w:pPr>
      <w:r w:rsidRPr="00F604BE">
        <w:rPr>
          <w:rFonts w:ascii="Georgia" w:hAnsi="Georgia"/>
          <w:sz w:val="22"/>
          <w:szCs w:val="22"/>
          <w:lang w:val="en-GB"/>
        </w:rPr>
        <w:t xml:space="preserve">Impulsive sound sources have been observed to cause temporary displacement of small cetaceans (e.g. harbour porpoise), increased physiological stress in some fish species (e.g. European seabass), and developmental abnormalities in invertebrate larvae. </w:t>
      </w:r>
      <w:r w:rsidR="00A90D25" w:rsidRPr="00F604BE">
        <w:rPr>
          <w:rFonts w:ascii="Georgia" w:hAnsi="Georgia"/>
          <w:sz w:val="22"/>
          <w:szCs w:val="22"/>
          <w:lang w:val="en-GB"/>
        </w:rPr>
        <w:t>Concerning harbour porpoises, the impact range</w:t>
      </w:r>
      <w:r w:rsidR="00FA313B" w:rsidRPr="00F604BE">
        <w:rPr>
          <w:rFonts w:ascii="Georgia" w:hAnsi="Georgia"/>
          <w:sz w:val="22"/>
          <w:szCs w:val="22"/>
          <w:lang w:val="en-GB"/>
        </w:rPr>
        <w:t>s</w:t>
      </w:r>
      <w:r w:rsidR="00A90D25" w:rsidRPr="00F604BE">
        <w:rPr>
          <w:rFonts w:ascii="Georgia" w:hAnsi="Georgia"/>
          <w:sz w:val="22"/>
          <w:szCs w:val="22"/>
          <w:lang w:val="en-GB"/>
        </w:rPr>
        <w:t xml:space="preserve"> from temporal avoidance of certain areas to temporary or even permanent damages to the sense of hearing. As these animals rely on their </w:t>
      </w:r>
      <w:r w:rsidR="00FA313B" w:rsidRPr="00F604BE">
        <w:rPr>
          <w:rFonts w:ascii="Georgia" w:hAnsi="Georgia"/>
          <w:sz w:val="22"/>
          <w:szCs w:val="22"/>
          <w:lang w:val="en-GB"/>
        </w:rPr>
        <w:t xml:space="preserve">sense of hearing </w:t>
      </w:r>
      <w:r w:rsidR="00A90D25" w:rsidRPr="00F604BE">
        <w:rPr>
          <w:rFonts w:ascii="Georgia" w:hAnsi="Georgia"/>
          <w:sz w:val="22"/>
          <w:szCs w:val="22"/>
          <w:lang w:val="en-GB"/>
        </w:rPr>
        <w:t xml:space="preserve">both for orientation as well as for </w:t>
      </w:r>
      <w:r w:rsidR="00F03386" w:rsidRPr="00F604BE">
        <w:rPr>
          <w:rFonts w:ascii="Georgia" w:hAnsi="Georgia"/>
          <w:sz w:val="22"/>
          <w:szCs w:val="22"/>
          <w:lang w:val="en-GB"/>
        </w:rPr>
        <w:t>foraging</w:t>
      </w:r>
      <w:r w:rsidR="00A90D25" w:rsidRPr="00F604BE">
        <w:rPr>
          <w:rFonts w:ascii="Georgia" w:hAnsi="Georgia"/>
          <w:sz w:val="22"/>
          <w:szCs w:val="22"/>
          <w:lang w:val="en-GB"/>
        </w:rPr>
        <w:t xml:space="preserve">, impacts caused by </w:t>
      </w:r>
      <w:r w:rsidR="00FA313B" w:rsidRPr="00F604BE">
        <w:rPr>
          <w:rFonts w:ascii="Georgia" w:hAnsi="Georgia"/>
          <w:sz w:val="22"/>
          <w:szCs w:val="22"/>
          <w:lang w:val="en-GB"/>
        </w:rPr>
        <w:t xml:space="preserve">impulsive sound can result in </w:t>
      </w:r>
      <w:r w:rsidR="00A90D25" w:rsidRPr="00F604BE">
        <w:rPr>
          <w:rFonts w:ascii="Georgia" w:hAnsi="Georgia"/>
          <w:sz w:val="22"/>
          <w:szCs w:val="22"/>
          <w:lang w:val="en-GB"/>
        </w:rPr>
        <w:t>severe effect</w:t>
      </w:r>
      <w:r w:rsidR="00FA313B" w:rsidRPr="00F604BE">
        <w:rPr>
          <w:rFonts w:ascii="Georgia" w:hAnsi="Georgia"/>
          <w:sz w:val="22"/>
          <w:szCs w:val="22"/>
          <w:lang w:val="en-GB"/>
        </w:rPr>
        <w:t>s</w:t>
      </w:r>
      <w:r w:rsidR="00A90D25" w:rsidRPr="00F604BE">
        <w:rPr>
          <w:rFonts w:ascii="Georgia" w:hAnsi="Georgia"/>
          <w:sz w:val="22"/>
          <w:szCs w:val="22"/>
          <w:lang w:val="en-GB"/>
        </w:rPr>
        <w:t>.</w:t>
      </w:r>
    </w:p>
    <w:p w14:paraId="28D48E90" w14:textId="56026635" w:rsidR="009E26EC" w:rsidRPr="00F604BE" w:rsidRDefault="00A90D25" w:rsidP="00F604BE">
      <w:pPr>
        <w:spacing w:after="170" w:line="340" w:lineRule="exact"/>
        <w:rPr>
          <w:rFonts w:ascii="Georgia" w:hAnsi="Georgia"/>
          <w:sz w:val="22"/>
          <w:szCs w:val="22"/>
        </w:rPr>
      </w:pPr>
      <w:r w:rsidRPr="00F604BE">
        <w:rPr>
          <w:rFonts w:ascii="Georgia" w:hAnsi="Georgia"/>
          <w:sz w:val="22"/>
          <w:szCs w:val="22"/>
          <w:lang w:val="en-GB"/>
        </w:rPr>
        <w:t>Wh</w:t>
      </w:r>
      <w:r w:rsidR="00492D88" w:rsidRPr="00F604BE">
        <w:rPr>
          <w:rFonts w:ascii="Georgia" w:hAnsi="Georgia"/>
          <w:sz w:val="22"/>
          <w:szCs w:val="22"/>
          <w:lang w:val="en-GB"/>
        </w:rPr>
        <w:t>ile effects on individual animals have been shown for a number of species, there is uncertainty over whether and how the effects of sound on individuals are translated to the population or ecosystem scale.</w:t>
      </w:r>
      <w:r w:rsidR="00F409BE" w:rsidRPr="00F604BE">
        <w:rPr>
          <w:rFonts w:ascii="Georgia" w:hAnsi="Georgia"/>
          <w:sz w:val="22"/>
          <w:szCs w:val="22"/>
          <w:lang w:val="en-GB"/>
        </w:rPr>
        <w:t xml:space="preserve"> </w:t>
      </w:r>
    </w:p>
    <w:p w14:paraId="3517F44B" w14:textId="78D6F2BA" w:rsidR="000F2BEF" w:rsidRPr="00F604BE" w:rsidRDefault="000F2BEF" w:rsidP="00F604BE">
      <w:pPr>
        <w:spacing w:after="170" w:line="340" w:lineRule="exact"/>
        <w:rPr>
          <w:rFonts w:ascii="Georgia" w:hAnsi="Georgia"/>
          <w:sz w:val="22"/>
          <w:szCs w:val="22"/>
          <w:lang w:val="en-GB"/>
        </w:rPr>
      </w:pPr>
      <w:r w:rsidRPr="00F604BE">
        <w:rPr>
          <w:rFonts w:ascii="Georgia" w:hAnsi="Georgia"/>
          <w:sz w:val="22"/>
          <w:szCs w:val="22"/>
          <w:lang w:val="en-GB"/>
        </w:rPr>
        <w:t xml:space="preserve">Another matter concerning sound </w:t>
      </w:r>
      <w:r w:rsidR="00F33291" w:rsidRPr="00F604BE">
        <w:rPr>
          <w:rFonts w:ascii="Georgia" w:hAnsi="Georgia"/>
          <w:sz w:val="22"/>
          <w:szCs w:val="22"/>
          <w:lang w:val="en-GB"/>
        </w:rPr>
        <w:t xml:space="preserve">is </w:t>
      </w:r>
      <w:r w:rsidR="004B1A48" w:rsidRPr="00F604BE">
        <w:rPr>
          <w:rFonts w:ascii="Georgia" w:hAnsi="Georgia"/>
          <w:sz w:val="22"/>
          <w:szCs w:val="22"/>
          <w:lang w:val="en-GB"/>
        </w:rPr>
        <w:t>ship traffic.</w:t>
      </w:r>
    </w:p>
    <w:p w14:paraId="47891C7F" w14:textId="2D6CD1E0" w:rsidR="00F33291" w:rsidRPr="006B3980" w:rsidRDefault="006B3980" w:rsidP="00F604BE">
      <w:pPr>
        <w:spacing w:after="170" w:line="340" w:lineRule="exact"/>
        <w:rPr>
          <w:rFonts w:ascii="Georgia" w:hAnsi="Georgia"/>
          <w:color w:val="808080" w:themeColor="background1" w:themeShade="80"/>
          <w:sz w:val="22"/>
          <w:szCs w:val="22"/>
        </w:rPr>
      </w:pPr>
      <w:r w:rsidRPr="006B3980">
        <w:rPr>
          <w:rFonts w:ascii="Georgia" w:hAnsi="Georgia"/>
          <w:color w:val="808080" w:themeColor="background1" w:themeShade="80"/>
          <w:sz w:val="22"/>
          <w:szCs w:val="22"/>
          <w:lang w:val="en-GB"/>
        </w:rPr>
        <w:t xml:space="preserve">[Note: </w:t>
      </w:r>
      <w:r w:rsidR="00497F30" w:rsidRPr="006B3980">
        <w:rPr>
          <w:rFonts w:ascii="Georgia" w:hAnsi="Georgia"/>
          <w:color w:val="808080" w:themeColor="background1" w:themeShade="80"/>
          <w:sz w:val="22"/>
          <w:szCs w:val="22"/>
          <w:lang w:val="en-GB"/>
        </w:rPr>
        <w:t xml:space="preserve">To be added: Habitat loss, </w:t>
      </w:r>
      <w:r w:rsidR="00F33291" w:rsidRPr="006B3980">
        <w:rPr>
          <w:rFonts w:ascii="Georgia" w:hAnsi="Georgia"/>
          <w:color w:val="808080" w:themeColor="background1" w:themeShade="80"/>
          <w:sz w:val="22"/>
          <w:szCs w:val="22"/>
          <w:lang w:val="en-GB"/>
        </w:rPr>
        <w:t>Collisions of birds with wind turbines /impairment of migratory routes/exchange between breeding/roosting sites and feeding grounds</w:t>
      </w:r>
      <w:r w:rsidRPr="006B3980">
        <w:rPr>
          <w:rFonts w:ascii="Georgia" w:hAnsi="Georgia"/>
          <w:color w:val="808080" w:themeColor="background1" w:themeShade="80"/>
          <w:sz w:val="22"/>
          <w:szCs w:val="22"/>
          <w:lang w:val="en-GB"/>
        </w:rPr>
        <w:t>]</w:t>
      </w:r>
    </w:p>
    <w:p w14:paraId="2026F838" w14:textId="621C6500" w:rsidR="00492D88" w:rsidRDefault="00492D88" w:rsidP="00C813CE"/>
    <w:p w14:paraId="765BAD01" w14:textId="036741E1" w:rsidR="00B207F7" w:rsidRDefault="00B207F7">
      <w:pPr>
        <w:spacing w:after="200" w:line="276" w:lineRule="auto"/>
        <w:rPr>
          <w:lang w:val="en-GB"/>
        </w:rPr>
      </w:pPr>
      <w:r>
        <w:rPr>
          <w:lang w:val="en-GB"/>
        </w:rPr>
        <w:br w:type="page"/>
      </w:r>
    </w:p>
    <w:p w14:paraId="2B56FA34" w14:textId="77777777" w:rsidR="00492D88" w:rsidRPr="007B1144" w:rsidRDefault="00492D88" w:rsidP="00C813CE"/>
    <w:p w14:paraId="15492410" w14:textId="5C6888B8" w:rsidR="00D83F90" w:rsidRPr="0051671D" w:rsidRDefault="00D83F90" w:rsidP="00165B24">
      <w:pPr>
        <w:pStyle w:val="1Sectiontitles"/>
      </w:pPr>
      <w:r w:rsidRPr="0051671D">
        <w:t>Energy from Oil and Gas</w:t>
      </w:r>
    </w:p>
    <w:p w14:paraId="039DBA0B" w14:textId="54F6DE35" w:rsidR="001A4598" w:rsidRPr="00165B24" w:rsidRDefault="001A4598" w:rsidP="008561DC">
      <w:pPr>
        <w:spacing w:after="200" w:line="276" w:lineRule="auto"/>
        <w:rPr>
          <w:rFonts w:ascii="Georgia" w:hAnsi="Georgia"/>
          <w:sz w:val="22"/>
          <w:szCs w:val="22"/>
          <w:u w:val="single"/>
        </w:rPr>
      </w:pPr>
      <w:r w:rsidRPr="00165B24">
        <w:rPr>
          <w:rFonts w:ascii="Georgia" w:hAnsi="Georgia"/>
          <w:sz w:val="22"/>
          <w:szCs w:val="22"/>
        </w:rPr>
        <w:t>Energy from Oil and Gas</w:t>
      </w:r>
      <w:r w:rsidRPr="00165B24">
        <w:rPr>
          <w:rFonts w:ascii="Georgia" w:hAnsi="Georgia"/>
          <w:b/>
          <w:bCs/>
          <w:sz w:val="22"/>
          <w:szCs w:val="22"/>
        </w:rPr>
        <w:t xml:space="preserve"> </w:t>
      </w:r>
      <w:r w:rsidRPr="00165B24">
        <w:rPr>
          <w:rFonts w:ascii="Georgia" w:hAnsi="Georgia"/>
          <w:sz w:val="22"/>
          <w:szCs w:val="22"/>
        </w:rPr>
        <w:t>refers to the exploitation platforms and pipes used to transport oil and natural gas.</w:t>
      </w:r>
    </w:p>
    <w:p w14:paraId="53A2C6B4" w14:textId="43C9B94F" w:rsidR="001A4598" w:rsidRPr="00165B24" w:rsidRDefault="001A4598" w:rsidP="00165B24">
      <w:pPr>
        <w:pStyle w:val="2sub-sections"/>
        <w:numPr>
          <w:ilvl w:val="0"/>
          <w:numId w:val="32"/>
        </w:numPr>
      </w:pPr>
      <w:r w:rsidRPr="00165B24">
        <w:t>Inventory</w:t>
      </w:r>
    </w:p>
    <w:p w14:paraId="796F87DB" w14:textId="77777777" w:rsidR="00185D50" w:rsidRPr="00165B24" w:rsidRDefault="00A61C4F" w:rsidP="00165B24">
      <w:pPr>
        <w:spacing w:after="170" w:line="340" w:lineRule="exact"/>
        <w:rPr>
          <w:rFonts w:ascii="Georgia" w:hAnsi="Georgia"/>
          <w:sz w:val="22"/>
          <w:szCs w:val="22"/>
        </w:rPr>
      </w:pPr>
      <w:r w:rsidRPr="00165B24">
        <w:rPr>
          <w:rFonts w:ascii="Georgia" w:hAnsi="Georgia"/>
          <w:sz w:val="22"/>
          <w:szCs w:val="22"/>
        </w:rPr>
        <w:t xml:space="preserve">There are no gas &amp; oil exploitation platforms within the Wadden Sea World Heritage property. Among the three countries, only the Netherlands exploits gas.  The exploitation is done from the shore outside the Wadden Sea World Heritage site using directional drilling in the soil underneath the WSWH. </w:t>
      </w:r>
    </w:p>
    <w:p w14:paraId="2DBB60B1" w14:textId="548693D8" w:rsidR="00185D50" w:rsidRPr="006B3980" w:rsidRDefault="00165B24" w:rsidP="006B3980">
      <w:pPr>
        <w:spacing w:after="170" w:line="340" w:lineRule="exact"/>
        <w:rPr>
          <w:rFonts w:ascii="Georgia" w:hAnsi="Georgia"/>
          <w:color w:val="808080" w:themeColor="background1" w:themeShade="80"/>
          <w:sz w:val="22"/>
          <w:szCs w:val="22"/>
        </w:rPr>
      </w:pPr>
      <w:r w:rsidRPr="006B3980">
        <w:rPr>
          <w:rFonts w:ascii="Georgia" w:hAnsi="Georgia"/>
          <w:color w:val="808080" w:themeColor="background1" w:themeShade="80"/>
          <w:sz w:val="22"/>
          <w:szCs w:val="22"/>
        </w:rPr>
        <w:t>[</w:t>
      </w:r>
      <w:r w:rsidR="006B3980" w:rsidRPr="006B3980">
        <w:rPr>
          <w:rFonts w:ascii="Georgia" w:hAnsi="Georgia"/>
          <w:color w:val="808080" w:themeColor="background1" w:themeShade="80"/>
          <w:sz w:val="22"/>
          <w:szCs w:val="22"/>
        </w:rPr>
        <w:t>Note</w:t>
      </w:r>
      <w:r w:rsidRPr="006B3980">
        <w:rPr>
          <w:rFonts w:ascii="Georgia" w:hAnsi="Georgia"/>
          <w:color w:val="808080" w:themeColor="background1" w:themeShade="80"/>
          <w:sz w:val="22"/>
          <w:szCs w:val="22"/>
        </w:rPr>
        <w:t xml:space="preserve">: </w:t>
      </w:r>
      <w:r w:rsidR="006B3980" w:rsidRPr="006B3980">
        <w:rPr>
          <w:rFonts w:ascii="Georgia" w:hAnsi="Georgia"/>
          <w:color w:val="808080" w:themeColor="background1" w:themeShade="80"/>
          <w:sz w:val="22"/>
          <w:szCs w:val="22"/>
        </w:rPr>
        <w:t>to add w</w:t>
      </w:r>
      <w:r w:rsidR="00185D50" w:rsidRPr="006B3980">
        <w:rPr>
          <w:rFonts w:ascii="Georgia" w:hAnsi="Georgia"/>
          <w:color w:val="808080" w:themeColor="background1" w:themeShade="80"/>
          <w:sz w:val="22"/>
          <w:szCs w:val="22"/>
        </w:rPr>
        <w:t>hat is the situation in LS?</w:t>
      </w:r>
      <w:r w:rsidRPr="006B3980">
        <w:rPr>
          <w:rFonts w:ascii="Georgia" w:hAnsi="Georgia"/>
          <w:color w:val="808080" w:themeColor="background1" w:themeShade="80"/>
          <w:sz w:val="22"/>
          <w:szCs w:val="22"/>
        </w:rPr>
        <w:t>]</w:t>
      </w:r>
    </w:p>
    <w:p w14:paraId="38D85014" w14:textId="44E60299" w:rsidR="00A61C4F" w:rsidRPr="00165B24" w:rsidRDefault="00A61C4F" w:rsidP="00165B24">
      <w:pPr>
        <w:spacing w:after="170" w:line="340" w:lineRule="exact"/>
        <w:rPr>
          <w:rFonts w:ascii="Georgia" w:hAnsi="Georgia"/>
          <w:sz w:val="22"/>
          <w:szCs w:val="22"/>
        </w:rPr>
      </w:pPr>
      <w:r w:rsidRPr="00165B24">
        <w:rPr>
          <w:rFonts w:ascii="Georgia" w:hAnsi="Georgia"/>
          <w:sz w:val="22"/>
          <w:szCs w:val="22"/>
        </w:rPr>
        <w:t xml:space="preserve">Oil is only extracted in one </w:t>
      </w:r>
      <w:r w:rsidR="00E91356" w:rsidRPr="00165B24">
        <w:rPr>
          <w:rFonts w:ascii="Georgia" w:hAnsi="Georgia"/>
          <w:sz w:val="22"/>
          <w:szCs w:val="22"/>
        </w:rPr>
        <w:t xml:space="preserve">place </w:t>
      </w:r>
      <w:r w:rsidRPr="00165B24">
        <w:rPr>
          <w:rFonts w:ascii="Georgia" w:hAnsi="Georgia"/>
          <w:sz w:val="22"/>
          <w:szCs w:val="22"/>
        </w:rPr>
        <w:t>in Germany</w:t>
      </w:r>
      <w:r w:rsidR="00E70F9C" w:rsidRPr="00165B24">
        <w:rPr>
          <w:rFonts w:ascii="Georgia" w:hAnsi="Georgia"/>
          <w:sz w:val="22"/>
          <w:szCs w:val="22"/>
        </w:rPr>
        <w:t>:</w:t>
      </w:r>
      <w:r w:rsidRPr="00165B24">
        <w:rPr>
          <w:rFonts w:ascii="Georgia" w:hAnsi="Georgia"/>
          <w:sz w:val="22"/>
          <w:szCs w:val="22"/>
        </w:rPr>
        <w:t xml:space="preserve"> the </w:t>
      </w:r>
      <w:r w:rsidR="00E91356" w:rsidRPr="00165B24">
        <w:rPr>
          <w:rFonts w:ascii="Georgia" w:hAnsi="Georgia"/>
          <w:sz w:val="22"/>
          <w:szCs w:val="22"/>
        </w:rPr>
        <w:t xml:space="preserve">oil platform </w:t>
      </w:r>
      <w:r w:rsidRPr="00165B24">
        <w:rPr>
          <w:rFonts w:ascii="Georgia" w:hAnsi="Georgia"/>
          <w:sz w:val="22"/>
          <w:szCs w:val="22"/>
        </w:rPr>
        <w:t>Mittelplate</w:t>
      </w:r>
      <w:r w:rsidR="00E91356" w:rsidRPr="00165B24">
        <w:rPr>
          <w:rFonts w:ascii="Georgia" w:hAnsi="Georgia"/>
          <w:sz w:val="22"/>
          <w:szCs w:val="22"/>
        </w:rPr>
        <w:t xml:space="preserve"> and Dieksand, a land-based exploitation site adjacent to the Wadden Sea near Friedrichskoog (see figure 3)</w:t>
      </w:r>
      <w:r w:rsidRPr="00165B24">
        <w:rPr>
          <w:rFonts w:ascii="Georgia" w:hAnsi="Georgia"/>
          <w:sz w:val="22"/>
          <w:szCs w:val="22"/>
        </w:rPr>
        <w:t>. The</w:t>
      </w:r>
      <w:r w:rsidR="00E70F9C" w:rsidRPr="00165B24">
        <w:rPr>
          <w:rFonts w:ascii="Georgia" w:hAnsi="Georgia"/>
          <w:sz w:val="22"/>
          <w:szCs w:val="22"/>
        </w:rPr>
        <w:t xml:space="preserve"> area of the Mittelplate is excluded from the WH property and its</w:t>
      </w:r>
      <w:r w:rsidRPr="00165B24">
        <w:rPr>
          <w:rFonts w:ascii="Georgia" w:hAnsi="Georgia"/>
          <w:sz w:val="22"/>
          <w:szCs w:val="22"/>
        </w:rPr>
        <w:t xml:space="preserve"> exploitation permit was issued before the World Heritage nomination</w:t>
      </w:r>
      <w:r w:rsidR="00E91356" w:rsidRPr="00165B24">
        <w:rPr>
          <w:rFonts w:ascii="Georgia" w:hAnsi="Georgia"/>
          <w:sz w:val="22"/>
          <w:szCs w:val="22"/>
        </w:rPr>
        <w:t xml:space="preserve"> (even before the founding of the National Park in 1985)</w:t>
      </w:r>
      <w:r w:rsidRPr="00165B24">
        <w:rPr>
          <w:rFonts w:ascii="Georgia" w:hAnsi="Georgia"/>
          <w:sz w:val="22"/>
          <w:szCs w:val="22"/>
        </w:rPr>
        <w:t>.</w:t>
      </w:r>
      <w:r w:rsidR="00E70F9C" w:rsidRPr="00165B24">
        <w:rPr>
          <w:rFonts w:ascii="Georgia" w:hAnsi="Georgia"/>
          <w:sz w:val="22"/>
          <w:szCs w:val="22"/>
        </w:rPr>
        <w:t xml:space="preserve"> </w:t>
      </w:r>
      <w:r w:rsidR="00E91356" w:rsidRPr="00165B24">
        <w:rPr>
          <w:rFonts w:ascii="Georgia" w:hAnsi="Georgia"/>
          <w:sz w:val="22"/>
          <w:szCs w:val="22"/>
        </w:rPr>
        <w:t xml:space="preserve">Since 2005, </w:t>
      </w:r>
      <w:r w:rsidR="007520D8" w:rsidRPr="00165B24">
        <w:rPr>
          <w:rFonts w:ascii="Georgia" w:hAnsi="Georgia"/>
          <w:sz w:val="22"/>
          <w:szCs w:val="22"/>
        </w:rPr>
        <w:t xml:space="preserve">the crude oil which is produced at Mittelplate is transported to the mainland via </w:t>
      </w:r>
      <w:r w:rsidR="00E91356" w:rsidRPr="00165B24">
        <w:rPr>
          <w:rFonts w:ascii="Georgia" w:hAnsi="Georgia"/>
          <w:sz w:val="22"/>
          <w:szCs w:val="22"/>
        </w:rPr>
        <w:t xml:space="preserve">a </w:t>
      </w:r>
      <w:r w:rsidR="007520D8" w:rsidRPr="00165B24">
        <w:rPr>
          <w:rFonts w:ascii="Georgia" w:hAnsi="Georgia"/>
          <w:sz w:val="22"/>
          <w:szCs w:val="22"/>
        </w:rPr>
        <w:t xml:space="preserve">subsoil </w:t>
      </w:r>
      <w:r w:rsidR="00E91356" w:rsidRPr="00165B24">
        <w:rPr>
          <w:rFonts w:ascii="Georgia" w:hAnsi="Georgia"/>
          <w:sz w:val="22"/>
          <w:szCs w:val="22"/>
        </w:rPr>
        <w:t>pipeline</w:t>
      </w:r>
      <w:r w:rsidR="007520D8" w:rsidRPr="00165B24">
        <w:rPr>
          <w:rFonts w:ascii="Georgia" w:hAnsi="Georgia"/>
          <w:sz w:val="22"/>
          <w:szCs w:val="22"/>
        </w:rPr>
        <w:t>.</w:t>
      </w:r>
      <w:r w:rsidR="00E91356" w:rsidRPr="00165B24">
        <w:rPr>
          <w:rFonts w:ascii="Georgia" w:hAnsi="Georgia"/>
          <w:sz w:val="22"/>
          <w:szCs w:val="22"/>
        </w:rPr>
        <w:t xml:space="preserve"> </w:t>
      </w:r>
      <w:r w:rsidR="007520D8" w:rsidRPr="00165B24">
        <w:rPr>
          <w:rFonts w:ascii="Georgia" w:hAnsi="Georgia"/>
          <w:sz w:val="22"/>
          <w:szCs w:val="22"/>
        </w:rPr>
        <w:t xml:space="preserve">The platform can be characterized as a </w:t>
      </w:r>
      <w:r w:rsidR="00165B24" w:rsidRPr="00165B24">
        <w:rPr>
          <w:rFonts w:ascii="Georgia" w:hAnsi="Georgia"/>
          <w:sz w:val="22"/>
          <w:szCs w:val="22"/>
        </w:rPr>
        <w:t>zero-emission</w:t>
      </w:r>
      <w:r w:rsidR="007520D8" w:rsidRPr="00165B24">
        <w:rPr>
          <w:rFonts w:ascii="Georgia" w:hAnsi="Georgia"/>
          <w:sz w:val="22"/>
          <w:szCs w:val="22"/>
        </w:rPr>
        <w:t xml:space="preserve"> unit. </w:t>
      </w:r>
    </w:p>
    <w:tbl>
      <w:tblPr>
        <w:tblStyle w:val="Gitternetztabelle5dunkelAkzent5"/>
        <w:tblW w:w="0" w:type="auto"/>
        <w:tblLook w:val="04A0" w:firstRow="1" w:lastRow="0" w:firstColumn="1" w:lastColumn="0" w:noHBand="0" w:noVBand="1"/>
      </w:tblPr>
      <w:tblGrid>
        <w:gridCol w:w="3731"/>
        <w:gridCol w:w="3071"/>
        <w:gridCol w:w="2827"/>
      </w:tblGrid>
      <w:tr w:rsidR="001A4598" w:rsidRPr="00165B24" w14:paraId="68AE4257" w14:textId="77777777" w:rsidTr="00165B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31" w:type="dxa"/>
            <w:shd w:val="clear" w:color="auto" w:fill="auto"/>
          </w:tcPr>
          <w:p w14:paraId="26ADC461" w14:textId="77777777" w:rsidR="001A4598" w:rsidRPr="00165B24" w:rsidRDefault="001A4598" w:rsidP="00A0265E">
            <w:pPr>
              <w:tabs>
                <w:tab w:val="right" w:pos="9639"/>
              </w:tabs>
              <w:spacing w:line="276" w:lineRule="auto"/>
              <w:jc w:val="center"/>
              <w:rPr>
                <w:rFonts w:ascii="Arial" w:hAnsi="Arial" w:cs="Arial"/>
                <w:sz w:val="20"/>
                <w:szCs w:val="20"/>
              </w:rPr>
            </w:pPr>
          </w:p>
        </w:tc>
        <w:tc>
          <w:tcPr>
            <w:tcW w:w="3071" w:type="dxa"/>
          </w:tcPr>
          <w:p w14:paraId="735380AC" w14:textId="77777777" w:rsidR="001A4598" w:rsidRPr="00165B24" w:rsidRDefault="001A4598" w:rsidP="00A0265E">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Gas exploitation</w:t>
            </w:r>
          </w:p>
        </w:tc>
        <w:tc>
          <w:tcPr>
            <w:tcW w:w="2827" w:type="dxa"/>
          </w:tcPr>
          <w:p w14:paraId="657C329B" w14:textId="77777777" w:rsidR="001A4598" w:rsidRPr="00165B24" w:rsidRDefault="001A4598" w:rsidP="00A0265E">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Oil exploitation</w:t>
            </w:r>
          </w:p>
        </w:tc>
      </w:tr>
      <w:tr w:rsidR="001A4598" w:rsidRPr="00165B24" w14:paraId="0C8580C6" w14:textId="77777777" w:rsidTr="00165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31" w:type="dxa"/>
          </w:tcPr>
          <w:p w14:paraId="0034023D" w14:textId="5DDC61AC" w:rsidR="001A4598" w:rsidRPr="00165B24" w:rsidRDefault="001A4598" w:rsidP="00A0265E">
            <w:pPr>
              <w:tabs>
                <w:tab w:val="right" w:pos="9639"/>
              </w:tabs>
              <w:spacing w:line="276" w:lineRule="auto"/>
              <w:rPr>
                <w:rFonts w:ascii="Arial" w:hAnsi="Arial" w:cs="Arial"/>
                <w:sz w:val="20"/>
                <w:szCs w:val="20"/>
              </w:rPr>
            </w:pPr>
            <w:r w:rsidRPr="00165B24">
              <w:rPr>
                <w:rFonts w:ascii="Arial" w:hAnsi="Arial" w:cs="Arial"/>
                <w:sz w:val="20"/>
                <w:szCs w:val="20"/>
              </w:rPr>
              <w:t>Wadden Sea World Heritage property in</w:t>
            </w:r>
            <w:r w:rsidR="00B870FA" w:rsidRPr="00165B24">
              <w:rPr>
                <w:rFonts w:ascii="Arial" w:hAnsi="Arial" w:cs="Arial"/>
                <w:sz w:val="20"/>
                <w:szCs w:val="20"/>
              </w:rPr>
              <w:t>…</w:t>
            </w:r>
            <w:r w:rsidRPr="00165B24">
              <w:rPr>
                <w:rFonts w:ascii="Arial" w:hAnsi="Arial" w:cs="Arial"/>
                <w:sz w:val="20"/>
                <w:szCs w:val="20"/>
              </w:rPr>
              <w:t xml:space="preserve"> </w:t>
            </w:r>
          </w:p>
        </w:tc>
        <w:tc>
          <w:tcPr>
            <w:tcW w:w="3071" w:type="dxa"/>
          </w:tcPr>
          <w:p w14:paraId="66469096" w14:textId="77777777" w:rsidR="001A4598" w:rsidRPr="00165B24" w:rsidRDefault="001A4598" w:rsidP="00A0265E">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827" w:type="dxa"/>
          </w:tcPr>
          <w:p w14:paraId="3C25ADB3" w14:textId="77777777" w:rsidR="001A4598" w:rsidRPr="00165B24" w:rsidRDefault="001A4598" w:rsidP="00A0265E">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1A4598" w:rsidRPr="00165B24" w14:paraId="11488FC9" w14:textId="77777777" w:rsidTr="00165B24">
        <w:trPr>
          <w:trHeight w:val="638"/>
        </w:trPr>
        <w:tc>
          <w:tcPr>
            <w:cnfStyle w:val="001000000000" w:firstRow="0" w:lastRow="0" w:firstColumn="1" w:lastColumn="0" w:oddVBand="0" w:evenVBand="0" w:oddHBand="0" w:evenHBand="0" w:firstRowFirstColumn="0" w:firstRowLastColumn="0" w:lastRowFirstColumn="0" w:lastRowLastColumn="0"/>
            <w:tcW w:w="3731" w:type="dxa"/>
          </w:tcPr>
          <w:p w14:paraId="78A9F01C" w14:textId="77777777" w:rsidR="001A4598" w:rsidRPr="00165B24" w:rsidRDefault="001A4598" w:rsidP="00A0265E">
            <w:pPr>
              <w:tabs>
                <w:tab w:val="right" w:pos="9639"/>
              </w:tabs>
              <w:spacing w:line="276" w:lineRule="auto"/>
              <w:jc w:val="right"/>
              <w:rPr>
                <w:rFonts w:ascii="Arial" w:hAnsi="Arial" w:cs="Arial"/>
                <w:b w:val="0"/>
                <w:bCs w:val="0"/>
                <w:sz w:val="20"/>
                <w:szCs w:val="20"/>
              </w:rPr>
            </w:pPr>
          </w:p>
          <w:p w14:paraId="2A6D6D9D" w14:textId="77777777" w:rsidR="001A4598" w:rsidRPr="00165B24" w:rsidRDefault="001A4598" w:rsidP="00A0265E">
            <w:pPr>
              <w:tabs>
                <w:tab w:val="right" w:pos="9639"/>
              </w:tabs>
              <w:spacing w:line="276" w:lineRule="auto"/>
              <w:jc w:val="right"/>
              <w:rPr>
                <w:rFonts w:ascii="Arial" w:hAnsi="Arial" w:cs="Arial"/>
                <w:sz w:val="20"/>
                <w:szCs w:val="20"/>
              </w:rPr>
            </w:pPr>
            <w:r w:rsidRPr="00165B24">
              <w:rPr>
                <w:rFonts w:ascii="Arial" w:hAnsi="Arial" w:cs="Arial"/>
                <w:sz w:val="20"/>
                <w:szCs w:val="20"/>
              </w:rPr>
              <w:t xml:space="preserve">the Netherlands </w:t>
            </w:r>
          </w:p>
        </w:tc>
        <w:tc>
          <w:tcPr>
            <w:tcW w:w="3071" w:type="dxa"/>
          </w:tcPr>
          <w:p w14:paraId="4312FB39" w14:textId="77777777" w:rsidR="001A4598" w:rsidRPr="00165B24" w:rsidRDefault="001A4598" w:rsidP="00A0265E">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Yes, from the shore outside the WSWH with directional drilling underneath the WSWH.</w:t>
            </w:r>
          </w:p>
        </w:tc>
        <w:tc>
          <w:tcPr>
            <w:tcW w:w="2827" w:type="dxa"/>
          </w:tcPr>
          <w:p w14:paraId="4A3C95B8" w14:textId="77777777" w:rsidR="001A4598" w:rsidRPr="00165B24" w:rsidRDefault="001A4598" w:rsidP="00A0265E">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No</w:t>
            </w:r>
          </w:p>
        </w:tc>
      </w:tr>
      <w:tr w:rsidR="001A4598" w:rsidRPr="00165B24" w14:paraId="1C88F1E7" w14:textId="77777777" w:rsidTr="00165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31" w:type="dxa"/>
          </w:tcPr>
          <w:p w14:paraId="27C0C0A0" w14:textId="77777777" w:rsidR="001A4598" w:rsidRPr="00165B24" w:rsidRDefault="001A4598" w:rsidP="00A0265E">
            <w:pPr>
              <w:tabs>
                <w:tab w:val="right" w:pos="9639"/>
              </w:tabs>
              <w:spacing w:line="276" w:lineRule="auto"/>
              <w:jc w:val="right"/>
              <w:rPr>
                <w:rFonts w:ascii="Arial" w:hAnsi="Arial" w:cs="Arial"/>
                <w:sz w:val="20"/>
                <w:szCs w:val="20"/>
              </w:rPr>
            </w:pPr>
            <w:r w:rsidRPr="00165B24">
              <w:rPr>
                <w:rFonts w:ascii="Arial" w:hAnsi="Arial" w:cs="Arial"/>
                <w:sz w:val="20"/>
                <w:szCs w:val="20"/>
              </w:rPr>
              <w:t>Lower Saxony</w:t>
            </w:r>
          </w:p>
        </w:tc>
        <w:tc>
          <w:tcPr>
            <w:tcW w:w="3071" w:type="dxa"/>
          </w:tcPr>
          <w:p w14:paraId="28AA9337" w14:textId="77777777" w:rsidR="001A4598" w:rsidRPr="00165B24" w:rsidRDefault="001A4598" w:rsidP="00A0265E">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165B24">
              <w:rPr>
                <w:rFonts w:ascii="Arial" w:hAnsi="Arial" w:cs="Arial"/>
                <w:sz w:val="20"/>
                <w:szCs w:val="20"/>
              </w:rPr>
              <w:t>No</w:t>
            </w:r>
          </w:p>
        </w:tc>
        <w:tc>
          <w:tcPr>
            <w:tcW w:w="2827" w:type="dxa"/>
          </w:tcPr>
          <w:p w14:paraId="32DE7DB2" w14:textId="77777777" w:rsidR="001A4598" w:rsidRPr="00165B24" w:rsidRDefault="001A4598" w:rsidP="00A0265E">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1A4598" w:rsidRPr="00165B24" w14:paraId="2137A9D3" w14:textId="77777777" w:rsidTr="00165B24">
        <w:tc>
          <w:tcPr>
            <w:cnfStyle w:val="001000000000" w:firstRow="0" w:lastRow="0" w:firstColumn="1" w:lastColumn="0" w:oddVBand="0" w:evenVBand="0" w:oddHBand="0" w:evenHBand="0" w:firstRowFirstColumn="0" w:firstRowLastColumn="0" w:lastRowFirstColumn="0" w:lastRowLastColumn="0"/>
            <w:tcW w:w="3731" w:type="dxa"/>
          </w:tcPr>
          <w:p w14:paraId="4CB4F565" w14:textId="77777777" w:rsidR="001A4598" w:rsidRPr="00165B24" w:rsidRDefault="001A4598" w:rsidP="00A0265E">
            <w:pPr>
              <w:tabs>
                <w:tab w:val="right" w:pos="9639"/>
              </w:tabs>
              <w:spacing w:line="276" w:lineRule="auto"/>
              <w:jc w:val="right"/>
              <w:rPr>
                <w:rFonts w:ascii="Arial" w:hAnsi="Arial" w:cs="Arial"/>
                <w:sz w:val="20"/>
                <w:szCs w:val="20"/>
              </w:rPr>
            </w:pPr>
            <w:r w:rsidRPr="00165B24">
              <w:rPr>
                <w:rFonts w:ascii="Arial" w:hAnsi="Arial" w:cs="Arial"/>
                <w:sz w:val="20"/>
                <w:szCs w:val="20"/>
              </w:rPr>
              <w:t>Hamburg</w:t>
            </w:r>
          </w:p>
        </w:tc>
        <w:tc>
          <w:tcPr>
            <w:tcW w:w="3071" w:type="dxa"/>
          </w:tcPr>
          <w:p w14:paraId="553712A9" w14:textId="77777777" w:rsidR="001A4598" w:rsidRPr="00165B24" w:rsidRDefault="001A4598" w:rsidP="00A0265E">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No</w:t>
            </w:r>
          </w:p>
        </w:tc>
        <w:tc>
          <w:tcPr>
            <w:tcW w:w="2827" w:type="dxa"/>
          </w:tcPr>
          <w:p w14:paraId="3CD3B79C" w14:textId="77777777" w:rsidR="001A4598" w:rsidRPr="00165B24" w:rsidRDefault="001A4598" w:rsidP="00A0265E">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No</w:t>
            </w:r>
          </w:p>
        </w:tc>
      </w:tr>
      <w:tr w:rsidR="001A4598" w:rsidRPr="00165B24" w14:paraId="793AD7C4" w14:textId="77777777" w:rsidTr="00165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31" w:type="dxa"/>
          </w:tcPr>
          <w:p w14:paraId="6F7AC86F" w14:textId="77777777" w:rsidR="001A4598" w:rsidRPr="00165B24" w:rsidRDefault="001A4598" w:rsidP="00A0265E">
            <w:pPr>
              <w:tabs>
                <w:tab w:val="right" w:pos="9639"/>
              </w:tabs>
              <w:spacing w:line="276" w:lineRule="auto"/>
              <w:jc w:val="right"/>
              <w:rPr>
                <w:rFonts w:ascii="Arial" w:hAnsi="Arial" w:cs="Arial"/>
                <w:b w:val="0"/>
                <w:bCs w:val="0"/>
                <w:sz w:val="20"/>
                <w:szCs w:val="20"/>
              </w:rPr>
            </w:pPr>
          </w:p>
          <w:p w14:paraId="546840C9" w14:textId="77777777" w:rsidR="001A4598" w:rsidRPr="00165B24" w:rsidRDefault="001A4598" w:rsidP="00A0265E">
            <w:pPr>
              <w:tabs>
                <w:tab w:val="right" w:pos="9639"/>
              </w:tabs>
              <w:spacing w:line="276" w:lineRule="auto"/>
              <w:jc w:val="right"/>
              <w:rPr>
                <w:rFonts w:ascii="Arial" w:hAnsi="Arial" w:cs="Arial"/>
                <w:sz w:val="20"/>
                <w:szCs w:val="20"/>
              </w:rPr>
            </w:pPr>
            <w:r w:rsidRPr="00165B24">
              <w:rPr>
                <w:rFonts w:ascii="Arial" w:hAnsi="Arial" w:cs="Arial"/>
                <w:sz w:val="20"/>
                <w:szCs w:val="20"/>
              </w:rPr>
              <w:t>Schleswig-Holstein</w:t>
            </w:r>
          </w:p>
        </w:tc>
        <w:tc>
          <w:tcPr>
            <w:tcW w:w="3071" w:type="dxa"/>
          </w:tcPr>
          <w:p w14:paraId="3E8A3F9A" w14:textId="77777777" w:rsidR="001A4598" w:rsidRPr="00165B24" w:rsidRDefault="001A4598" w:rsidP="00A0265E">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165B24">
              <w:rPr>
                <w:rFonts w:ascii="Arial" w:hAnsi="Arial" w:cs="Arial"/>
                <w:sz w:val="20"/>
                <w:szCs w:val="20"/>
              </w:rPr>
              <w:t>No</w:t>
            </w:r>
          </w:p>
        </w:tc>
        <w:tc>
          <w:tcPr>
            <w:tcW w:w="2827" w:type="dxa"/>
          </w:tcPr>
          <w:p w14:paraId="58B6D5F4" w14:textId="4EF3B22C" w:rsidR="001A4598" w:rsidRPr="00165B24" w:rsidRDefault="001A4598" w:rsidP="00A0265E">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165B24">
              <w:rPr>
                <w:rFonts w:ascii="Arial" w:hAnsi="Arial" w:cs="Arial"/>
                <w:sz w:val="20"/>
                <w:szCs w:val="20"/>
              </w:rPr>
              <w:t>Yes, permit issued before World Heritage nomination</w:t>
            </w:r>
            <w:r w:rsidR="00E91356" w:rsidRPr="00165B24">
              <w:rPr>
                <w:rFonts w:ascii="Arial" w:hAnsi="Arial" w:cs="Arial"/>
                <w:sz w:val="20"/>
                <w:szCs w:val="20"/>
              </w:rPr>
              <w:t xml:space="preserve"> (until 2041)</w:t>
            </w:r>
            <w:r w:rsidRPr="00165B24">
              <w:rPr>
                <w:rFonts w:ascii="Arial" w:hAnsi="Arial" w:cs="Arial"/>
                <w:sz w:val="20"/>
                <w:szCs w:val="20"/>
              </w:rPr>
              <w:t>.</w:t>
            </w:r>
          </w:p>
        </w:tc>
      </w:tr>
      <w:tr w:rsidR="001A4598" w:rsidRPr="00165B24" w14:paraId="11A9B76A" w14:textId="77777777" w:rsidTr="00165B24">
        <w:tc>
          <w:tcPr>
            <w:cnfStyle w:val="001000000000" w:firstRow="0" w:lastRow="0" w:firstColumn="1" w:lastColumn="0" w:oddVBand="0" w:evenVBand="0" w:oddHBand="0" w:evenHBand="0" w:firstRowFirstColumn="0" w:firstRowLastColumn="0" w:lastRowFirstColumn="0" w:lastRowLastColumn="0"/>
            <w:tcW w:w="3731" w:type="dxa"/>
          </w:tcPr>
          <w:p w14:paraId="61746A25" w14:textId="77777777" w:rsidR="001A4598" w:rsidRPr="00165B24" w:rsidRDefault="001A4598" w:rsidP="00A0265E">
            <w:pPr>
              <w:tabs>
                <w:tab w:val="right" w:pos="9639"/>
              </w:tabs>
              <w:spacing w:line="276" w:lineRule="auto"/>
              <w:jc w:val="right"/>
              <w:rPr>
                <w:rFonts w:ascii="Arial" w:hAnsi="Arial" w:cs="Arial"/>
                <w:sz w:val="20"/>
                <w:szCs w:val="20"/>
              </w:rPr>
            </w:pPr>
            <w:r w:rsidRPr="00165B24">
              <w:rPr>
                <w:rFonts w:ascii="Arial" w:hAnsi="Arial" w:cs="Arial"/>
                <w:sz w:val="20"/>
                <w:szCs w:val="20"/>
              </w:rPr>
              <w:t>Denmark</w:t>
            </w:r>
          </w:p>
        </w:tc>
        <w:tc>
          <w:tcPr>
            <w:tcW w:w="3071" w:type="dxa"/>
          </w:tcPr>
          <w:p w14:paraId="4A18F5AB" w14:textId="77777777" w:rsidR="001A4598" w:rsidRPr="00165B24" w:rsidRDefault="001A4598" w:rsidP="00A0265E">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No</w:t>
            </w:r>
          </w:p>
        </w:tc>
        <w:tc>
          <w:tcPr>
            <w:tcW w:w="2827" w:type="dxa"/>
          </w:tcPr>
          <w:p w14:paraId="3A956E00" w14:textId="77777777" w:rsidR="001A4598" w:rsidRPr="00165B24" w:rsidRDefault="001A4598" w:rsidP="00A0265E">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165B24">
              <w:rPr>
                <w:rFonts w:ascii="Arial" w:hAnsi="Arial" w:cs="Arial"/>
                <w:sz w:val="20"/>
                <w:szCs w:val="20"/>
              </w:rPr>
              <w:t>No</w:t>
            </w:r>
          </w:p>
        </w:tc>
      </w:tr>
    </w:tbl>
    <w:p w14:paraId="27F09577" w14:textId="07E520B4" w:rsidR="001A4598" w:rsidRDefault="001A4598" w:rsidP="008561DC">
      <w:pPr>
        <w:spacing w:after="200" w:line="276" w:lineRule="auto"/>
        <w:rPr>
          <w:rFonts w:ascii="Georgia" w:hAnsi="Georgia"/>
          <w:sz w:val="20"/>
          <w:szCs w:val="20"/>
          <w:u w:val="single"/>
        </w:rPr>
      </w:pPr>
    </w:p>
    <w:p w14:paraId="593C08CD" w14:textId="77777777" w:rsidR="00CF2A42" w:rsidRDefault="00CF2A42" w:rsidP="00CF2A42">
      <w:pPr>
        <w:spacing w:line="276" w:lineRule="auto"/>
        <w:rPr>
          <w:rFonts w:ascii="Georgia" w:hAnsi="Georgia"/>
          <w:sz w:val="20"/>
          <w:szCs w:val="20"/>
          <w:highlight w:val="darkGray"/>
          <w:u w:val="single"/>
        </w:rPr>
      </w:pPr>
      <w:r>
        <w:rPr>
          <w:rFonts w:ascii="Georgia" w:hAnsi="Georgia"/>
          <w:noProof/>
          <w:sz w:val="20"/>
          <w:szCs w:val="20"/>
          <w:lang w:val="de-DE" w:eastAsia="de-DE"/>
        </w:rPr>
        <w:lastRenderedPageBreak/>
        <w:drawing>
          <wp:inline distT="0" distB="0" distL="0" distR="0" wp14:anchorId="062DC3FB" wp14:editId="7474149C">
            <wp:extent cx="6109335" cy="5627370"/>
            <wp:effectExtent l="0" t="0" r="571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9335" cy="5627370"/>
                    </a:xfrm>
                    <a:prstGeom prst="rect">
                      <a:avLst/>
                    </a:prstGeom>
                    <a:noFill/>
                    <a:ln>
                      <a:noFill/>
                    </a:ln>
                  </pic:spPr>
                </pic:pic>
              </a:graphicData>
            </a:graphic>
          </wp:inline>
        </w:drawing>
      </w:r>
    </w:p>
    <w:p w14:paraId="4C77D72A" w14:textId="5AEB23B2" w:rsidR="00CF2A42" w:rsidRPr="006B3980" w:rsidRDefault="00CF2A42" w:rsidP="001A4598">
      <w:pPr>
        <w:spacing w:after="200" w:line="276" w:lineRule="auto"/>
        <w:rPr>
          <w:rFonts w:ascii="Georgia" w:hAnsi="Georgia"/>
          <w:color w:val="808080" w:themeColor="background1" w:themeShade="80"/>
          <w:sz w:val="22"/>
          <w:szCs w:val="22"/>
        </w:rPr>
      </w:pPr>
      <w:r w:rsidRPr="00165B24">
        <w:rPr>
          <w:rFonts w:ascii="Georgia" w:hAnsi="Georgia"/>
          <w:b/>
          <w:bCs/>
          <w:sz w:val="18"/>
          <w:szCs w:val="18"/>
        </w:rPr>
        <w:t xml:space="preserve">Figure </w:t>
      </w:r>
      <w:r w:rsidR="00B466A5" w:rsidRPr="00165B24">
        <w:rPr>
          <w:rFonts w:ascii="Georgia" w:hAnsi="Georgia"/>
          <w:b/>
          <w:bCs/>
          <w:sz w:val="18"/>
          <w:szCs w:val="18"/>
        </w:rPr>
        <w:t>3</w:t>
      </w:r>
      <w:r w:rsidRPr="00165B24">
        <w:rPr>
          <w:rFonts w:ascii="Georgia" w:hAnsi="Georgia"/>
          <w:b/>
          <w:bCs/>
          <w:sz w:val="18"/>
          <w:szCs w:val="18"/>
        </w:rPr>
        <w:t>.</w:t>
      </w:r>
      <w:r w:rsidR="00B466A5" w:rsidRPr="00165B24">
        <w:rPr>
          <w:rFonts w:ascii="Georgia" w:hAnsi="Georgia"/>
          <w:sz w:val="18"/>
          <w:szCs w:val="18"/>
        </w:rPr>
        <w:t xml:space="preserve"> Gas and oil exploitation sites and pipes.</w:t>
      </w:r>
      <w:r w:rsidRPr="00165B24">
        <w:rPr>
          <w:rFonts w:ascii="Georgia" w:hAnsi="Georgia"/>
          <w:sz w:val="18"/>
          <w:szCs w:val="18"/>
        </w:rPr>
        <w:t xml:space="preserve"> </w:t>
      </w:r>
      <w:r w:rsidR="00165B24" w:rsidRPr="00165B24">
        <w:rPr>
          <w:rFonts w:ascii="Georgia" w:hAnsi="Georgia"/>
          <w:sz w:val="18"/>
          <w:szCs w:val="18"/>
        </w:rPr>
        <w:br/>
      </w:r>
      <w:r w:rsidR="00165B24" w:rsidRPr="006B3980">
        <w:rPr>
          <w:rFonts w:ascii="Georgia" w:hAnsi="Georgia"/>
          <w:color w:val="808080" w:themeColor="background1" w:themeShade="80"/>
          <w:sz w:val="22"/>
          <w:szCs w:val="22"/>
          <w:shd w:val="clear" w:color="auto" w:fill="92CDDC" w:themeFill="accent5" w:themeFillTint="99"/>
        </w:rPr>
        <w:t>[</w:t>
      </w:r>
      <w:r w:rsidR="006B3980" w:rsidRPr="006B3980">
        <w:rPr>
          <w:rFonts w:ascii="Georgia" w:hAnsi="Georgia"/>
          <w:color w:val="808080" w:themeColor="background1" w:themeShade="80"/>
          <w:sz w:val="22"/>
          <w:szCs w:val="22"/>
          <w:shd w:val="clear" w:color="auto" w:fill="92CDDC" w:themeFill="accent5" w:themeFillTint="99"/>
        </w:rPr>
        <w:t>Note</w:t>
      </w:r>
      <w:r w:rsidR="00165B24" w:rsidRPr="006B3980">
        <w:rPr>
          <w:rFonts w:ascii="Georgia" w:hAnsi="Georgia"/>
          <w:color w:val="808080" w:themeColor="background1" w:themeShade="80"/>
          <w:sz w:val="22"/>
          <w:szCs w:val="22"/>
          <w:shd w:val="clear" w:color="auto" w:fill="92CDDC" w:themeFill="accent5" w:themeFillTint="99"/>
        </w:rPr>
        <w:t xml:space="preserve">: are the data in the map still current or need </w:t>
      </w:r>
      <w:r w:rsidR="00917DB4" w:rsidRPr="006B3980">
        <w:rPr>
          <w:rFonts w:ascii="Georgia" w:hAnsi="Georgia"/>
          <w:color w:val="808080" w:themeColor="background1" w:themeShade="80"/>
          <w:sz w:val="22"/>
          <w:szCs w:val="22"/>
          <w:highlight w:val="yellow"/>
          <w:shd w:val="clear" w:color="auto" w:fill="92CDDC" w:themeFill="accent5" w:themeFillTint="99"/>
        </w:rPr>
        <w:t>u</w:t>
      </w:r>
      <w:r w:rsidRPr="006B3980">
        <w:rPr>
          <w:rFonts w:ascii="Georgia" w:hAnsi="Georgia"/>
          <w:color w:val="808080" w:themeColor="background1" w:themeShade="80"/>
          <w:sz w:val="22"/>
          <w:szCs w:val="22"/>
          <w:highlight w:val="yellow"/>
          <w:shd w:val="clear" w:color="auto" w:fill="92CDDC" w:themeFill="accent5" w:themeFillTint="99"/>
        </w:rPr>
        <w:t>pdat</w:t>
      </w:r>
      <w:r w:rsidR="00917DB4" w:rsidRPr="006B3980">
        <w:rPr>
          <w:rFonts w:ascii="Georgia" w:hAnsi="Georgia"/>
          <w:color w:val="808080" w:themeColor="background1" w:themeShade="80"/>
          <w:sz w:val="22"/>
          <w:szCs w:val="22"/>
          <w:highlight w:val="yellow"/>
          <w:shd w:val="clear" w:color="auto" w:fill="92CDDC" w:themeFill="accent5" w:themeFillTint="99"/>
        </w:rPr>
        <w:t>e</w:t>
      </w:r>
      <w:r w:rsidR="00B466A5" w:rsidRPr="006B3980">
        <w:rPr>
          <w:rFonts w:ascii="Georgia" w:hAnsi="Georgia"/>
          <w:color w:val="808080" w:themeColor="background1" w:themeShade="80"/>
          <w:sz w:val="22"/>
          <w:szCs w:val="22"/>
          <w:highlight w:val="yellow"/>
          <w:shd w:val="clear" w:color="auto" w:fill="92CDDC" w:themeFill="accent5" w:themeFillTint="99"/>
        </w:rPr>
        <w:t>?</w:t>
      </w:r>
      <w:r w:rsidR="00165B24" w:rsidRPr="006B3980">
        <w:rPr>
          <w:rFonts w:ascii="Georgia" w:hAnsi="Georgia"/>
          <w:color w:val="808080" w:themeColor="background1" w:themeShade="80"/>
          <w:sz w:val="22"/>
          <w:szCs w:val="22"/>
          <w:shd w:val="clear" w:color="auto" w:fill="92CDDC" w:themeFill="accent5" w:themeFillTint="99"/>
        </w:rPr>
        <w:t xml:space="preserve"> Who takes and holds this georeferenced info per country? Can we establish formal contact with them to update GIS info? Ideally, we need the *.shp files]</w:t>
      </w:r>
    </w:p>
    <w:p w14:paraId="35DBB0B8" w14:textId="77777777" w:rsidR="00964692" w:rsidRDefault="00964692" w:rsidP="00B870FA">
      <w:pPr>
        <w:spacing w:line="276" w:lineRule="auto"/>
        <w:rPr>
          <w:rFonts w:ascii="Georgia" w:hAnsi="Georgia"/>
          <w:sz w:val="20"/>
          <w:szCs w:val="20"/>
          <w:u w:val="single"/>
        </w:rPr>
      </w:pPr>
    </w:p>
    <w:p w14:paraId="3AF34373" w14:textId="074F3F8E" w:rsidR="001A4598" w:rsidRPr="007C7B99" w:rsidRDefault="001A4598" w:rsidP="007C7B99">
      <w:pPr>
        <w:pStyle w:val="2sub-sections"/>
        <w:numPr>
          <w:ilvl w:val="0"/>
          <w:numId w:val="32"/>
        </w:numPr>
      </w:pPr>
      <w:r w:rsidRPr="007C7B99">
        <w:t>Common ground</w:t>
      </w:r>
    </w:p>
    <w:p w14:paraId="4FB0BC0F" w14:textId="771093D5" w:rsidR="00B870FA" w:rsidRPr="007C7B99" w:rsidRDefault="009377EB" w:rsidP="007C7B99">
      <w:pPr>
        <w:pStyle w:val="3subheadings"/>
      </w:pPr>
      <w:r w:rsidRPr="007C7B99">
        <w:t>T</w:t>
      </w:r>
      <w:r w:rsidR="00B870FA" w:rsidRPr="007C7B99">
        <w:t>rilateral agreements:</w:t>
      </w:r>
    </w:p>
    <w:p w14:paraId="63A49CAE" w14:textId="77777777" w:rsidR="00A55EDE" w:rsidRDefault="00A55EDE" w:rsidP="00B870FA">
      <w:pPr>
        <w:autoSpaceDE w:val="0"/>
        <w:autoSpaceDN w:val="0"/>
        <w:adjustRightInd w:val="0"/>
        <w:rPr>
          <w:rFonts w:ascii="Georgia" w:eastAsiaTheme="minorHAnsi" w:hAnsi="Georgia" w:cs="RotisSansSerif"/>
          <w:sz w:val="20"/>
          <w:szCs w:val="20"/>
        </w:rPr>
      </w:pPr>
    </w:p>
    <w:p w14:paraId="3D06FE17" w14:textId="74B0DCA6" w:rsidR="00A55EDE" w:rsidRPr="007C7B99" w:rsidRDefault="00EC7B6F" w:rsidP="007C7B99">
      <w:pPr>
        <w:pStyle w:val="Listenabsatz"/>
        <w:numPr>
          <w:ilvl w:val="0"/>
          <w:numId w:val="5"/>
        </w:num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In the Nature Conservation Area, new exploitation installations for oil and gas will not be permitted</w:t>
      </w:r>
      <w:r w:rsidR="009377EB" w:rsidRPr="007C7B99">
        <w:rPr>
          <w:rFonts w:ascii="Georgia" w:eastAsiaTheme="minorHAnsi" w:hAnsi="Georgia" w:cs="RotisSansSerif"/>
          <w:sz w:val="22"/>
          <w:szCs w:val="22"/>
        </w:rPr>
        <w:t xml:space="preserve"> (WSP, 2010)</w:t>
      </w:r>
      <w:r w:rsidRPr="007C7B99">
        <w:rPr>
          <w:rFonts w:ascii="Georgia" w:eastAsiaTheme="minorHAnsi" w:hAnsi="Georgia" w:cs="RotisSansSerif"/>
          <w:sz w:val="22"/>
          <w:szCs w:val="22"/>
        </w:rPr>
        <w:t xml:space="preserve">. </w:t>
      </w:r>
    </w:p>
    <w:p w14:paraId="70C71FC8" w14:textId="77777777" w:rsidR="00A55EDE" w:rsidRPr="007C7B99" w:rsidRDefault="00A55EDE" w:rsidP="007C7B99">
      <w:pPr>
        <w:autoSpaceDE w:val="0"/>
        <w:autoSpaceDN w:val="0"/>
        <w:adjustRightInd w:val="0"/>
        <w:spacing w:afterLines="170" w:after="408" w:line="340" w:lineRule="exact"/>
        <w:ind w:left="360"/>
        <w:rPr>
          <w:rFonts w:ascii="Georgia" w:eastAsiaTheme="minorHAnsi" w:hAnsi="Georgia" w:cs="RotisSansSerif"/>
          <w:sz w:val="22"/>
          <w:szCs w:val="22"/>
        </w:rPr>
      </w:pPr>
    </w:p>
    <w:p w14:paraId="35B5828D" w14:textId="2964F31E" w:rsidR="009377EB" w:rsidRPr="007C7B99" w:rsidRDefault="009377EB" w:rsidP="007C7B99">
      <w:pPr>
        <w:autoSpaceDE w:val="0"/>
        <w:autoSpaceDN w:val="0"/>
        <w:adjustRightInd w:val="0"/>
        <w:spacing w:afterLines="170" w:after="408" w:line="340" w:lineRule="exact"/>
        <w:rPr>
          <w:rFonts w:ascii="Georgia" w:eastAsiaTheme="minorHAnsi" w:hAnsi="Georgia" w:cs="RotisSansSerif"/>
          <w:sz w:val="22"/>
          <w:szCs w:val="22"/>
          <w:lang w:val="en-GB"/>
        </w:rPr>
      </w:pPr>
      <w:r w:rsidRPr="007C7B99">
        <w:rPr>
          <w:rFonts w:ascii="Georgia" w:eastAsiaTheme="minorHAnsi" w:hAnsi="Georgia" w:cs="RotisSansSerif"/>
          <w:sz w:val="22"/>
          <w:szCs w:val="22"/>
        </w:rPr>
        <w:lastRenderedPageBreak/>
        <w:t>“</w:t>
      </w:r>
      <w:r w:rsidR="00EC7B6F" w:rsidRPr="007C7B99">
        <w:rPr>
          <w:rFonts w:ascii="Georgia" w:eastAsiaTheme="minorHAnsi" w:hAnsi="Georgia" w:cs="RotisSansSerif"/>
          <w:sz w:val="22"/>
          <w:szCs w:val="22"/>
        </w:rPr>
        <w:t>For the area of the World Heritage property, Germany and The Netherlands have confirmed their commitment not to explore and extract oil and gas at locations within the revised boundaries of the nominated property in line with law in force</w:t>
      </w:r>
      <w:r w:rsidRPr="007C7B99">
        <w:rPr>
          <w:rFonts w:ascii="Georgia" w:eastAsiaTheme="minorHAnsi" w:hAnsi="Georgia" w:cs="RotisSansSerif"/>
          <w:sz w:val="22"/>
          <w:szCs w:val="22"/>
        </w:rPr>
        <w:t>”</w:t>
      </w:r>
      <w:r w:rsidR="00A55EDE" w:rsidRPr="007C7B99">
        <w:rPr>
          <w:rFonts w:ascii="Georgia" w:eastAsiaTheme="minorHAnsi" w:hAnsi="Georgia" w:cs="RotisSansSerif"/>
          <w:sz w:val="22"/>
          <w:szCs w:val="22"/>
        </w:rPr>
        <w:t xml:space="preserve"> (WSP, 2010)</w:t>
      </w:r>
      <w:r w:rsidR="00EC7B6F" w:rsidRPr="007C7B99">
        <w:rPr>
          <w:rFonts w:ascii="Georgia" w:eastAsiaTheme="minorHAnsi" w:hAnsi="Georgia" w:cs="RotisSansSerif"/>
          <w:sz w:val="22"/>
          <w:szCs w:val="22"/>
        </w:rPr>
        <w:t>.</w:t>
      </w:r>
      <w:r w:rsidR="00A55EDE" w:rsidRPr="007C7B99">
        <w:rPr>
          <w:rFonts w:ascii="Georgia" w:eastAsiaTheme="minorHAnsi" w:hAnsi="Georgia" w:cs="RotisSansSerif"/>
          <w:sz w:val="22"/>
          <w:szCs w:val="22"/>
        </w:rPr>
        <w:t xml:space="preserve"> </w:t>
      </w:r>
      <w:r w:rsidR="00127A4A" w:rsidRPr="007C7B99">
        <w:rPr>
          <w:rFonts w:ascii="Georgia" w:eastAsiaTheme="minorHAnsi" w:hAnsi="Georgia" w:cs="RotisSansSerif"/>
          <w:sz w:val="22"/>
          <w:szCs w:val="22"/>
        </w:rPr>
        <w:t xml:space="preserve">In Denmark, </w:t>
      </w:r>
      <w:r w:rsidRPr="007C7B99">
        <w:rPr>
          <w:rFonts w:ascii="Georgia" w:eastAsiaTheme="minorHAnsi" w:hAnsi="Georgia" w:cs="RotisSansSerif"/>
          <w:sz w:val="22"/>
          <w:szCs w:val="22"/>
        </w:rPr>
        <w:t>“</w:t>
      </w:r>
      <w:r w:rsidR="00127A4A" w:rsidRPr="007C7B99">
        <w:rPr>
          <w:rFonts w:ascii="Georgia" w:eastAsiaTheme="minorHAnsi" w:hAnsi="Georgia" w:cs="RotisSansSerif"/>
          <w:sz w:val="22"/>
          <w:szCs w:val="22"/>
        </w:rPr>
        <w:t>e</w:t>
      </w:r>
      <w:r w:rsidR="00A55EDE" w:rsidRPr="007C7B99">
        <w:rPr>
          <w:rFonts w:ascii="Georgia" w:eastAsiaTheme="minorHAnsi" w:hAnsi="Georgia" w:cs="RotisSansSerif"/>
          <w:sz w:val="22"/>
          <w:szCs w:val="22"/>
        </w:rPr>
        <w:t>xploration and exploitation of gas and oil in</w:t>
      </w:r>
      <w:r w:rsidR="00A55EDE" w:rsidRPr="007C7B99">
        <w:rPr>
          <w:rFonts w:ascii="Georgia" w:eastAsiaTheme="minorHAnsi" w:hAnsi="Georgia" w:cs="RotisSansSerif"/>
          <w:sz w:val="22"/>
          <w:szCs w:val="22"/>
        </w:rPr>
        <w:softHyphen/>
        <w:t>cluding seismic investigations is prohibited in the nominated property according to the Statutory Order on the Nature and Wildlife Reserve Wad</w:t>
      </w:r>
      <w:r w:rsidR="00A55EDE" w:rsidRPr="007C7B99">
        <w:rPr>
          <w:rFonts w:ascii="Georgia" w:eastAsiaTheme="minorHAnsi" w:hAnsi="Georgia" w:cs="RotisSansSerif"/>
          <w:sz w:val="22"/>
          <w:szCs w:val="22"/>
        </w:rPr>
        <w:softHyphen/>
        <w:t>den Sea</w:t>
      </w:r>
      <w:r w:rsidRPr="007C7B99">
        <w:rPr>
          <w:rFonts w:ascii="Georgia" w:eastAsiaTheme="minorHAnsi" w:hAnsi="Georgia" w:cs="RotisSansSerif"/>
          <w:sz w:val="22"/>
          <w:szCs w:val="22"/>
        </w:rPr>
        <w:t>”</w:t>
      </w:r>
      <w:r w:rsidR="00A55EDE" w:rsidRPr="007C7B99">
        <w:rPr>
          <w:rFonts w:ascii="Georgia" w:eastAsiaTheme="minorHAnsi" w:hAnsi="Georgia" w:cs="RotisSansSerif"/>
          <w:sz w:val="22"/>
          <w:szCs w:val="22"/>
        </w:rPr>
        <w:t xml:space="preserve"> (Nomination Dossier, 2012).</w:t>
      </w:r>
      <w:r w:rsidRPr="007C7B99">
        <w:rPr>
          <w:rFonts w:ascii="Georgia" w:eastAsiaTheme="minorHAnsi" w:hAnsi="Georgia" w:cs="RotisSansSerif"/>
          <w:sz w:val="22"/>
          <w:szCs w:val="22"/>
          <w:lang w:val="en-GB"/>
        </w:rPr>
        <w:t xml:space="preserve"> </w:t>
      </w:r>
    </w:p>
    <w:p w14:paraId="431B099A" w14:textId="686C2740" w:rsidR="009377EB" w:rsidRPr="007C7B99" w:rsidRDefault="009377EB" w:rsidP="007C7B99">
      <w:pPr>
        <w:pStyle w:val="Listenabsatz"/>
        <w:numPr>
          <w:ilvl w:val="0"/>
          <w:numId w:val="5"/>
        </w:num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“New licenses for the construction of pipelines in the salt marshes for the transport of gas and oil shall not be issued unless in the absence of alternative solutions, a plan or project must nevertheless be carried out for imperative reasons of overriding public interest including those of a social or economic nature.</w:t>
      </w:r>
    </w:p>
    <w:p w14:paraId="33CD2BCF" w14:textId="77777777" w:rsidR="009377EB" w:rsidRPr="007C7B99" w:rsidRDefault="009377EB" w:rsidP="007C7B99">
      <w:pPr>
        <w:pStyle w:val="Listenabsatz"/>
        <w:numPr>
          <w:ilvl w:val="0"/>
          <w:numId w:val="5"/>
        </w:num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 xml:space="preserve">The exploration and exploitation of the energy resources in the North Sea, as well as in the Wadden Sea Area, has to comply, at least, with the international agreements in the appropriate fora. This results </w:t>
      </w:r>
      <w:r w:rsidRPr="007C7B99">
        <w:rPr>
          <w:rFonts w:ascii="Georgia" w:eastAsiaTheme="minorHAnsi" w:hAnsi="Georgia" w:cs="RotisSansSerif"/>
          <w:i/>
          <w:iCs/>
          <w:sz w:val="22"/>
          <w:szCs w:val="22"/>
        </w:rPr>
        <w:t>inter alia</w:t>
      </w:r>
      <w:r w:rsidRPr="007C7B99">
        <w:rPr>
          <w:rFonts w:ascii="Georgia" w:eastAsiaTheme="minorHAnsi" w:hAnsi="Georgia" w:cs="RotisSansSerif"/>
          <w:sz w:val="22"/>
          <w:szCs w:val="22"/>
        </w:rPr>
        <w:t xml:space="preserve"> in a prohibition on discharging oil-based muds and cuttings. </w:t>
      </w:r>
      <w:r w:rsidRPr="007C7B99">
        <w:rPr>
          <w:rFonts w:ascii="Georgia" w:eastAsiaTheme="minorHAnsi" w:hAnsi="Georgia" w:cs="RotisSansSerif"/>
          <w:i/>
          <w:iCs/>
          <w:sz w:val="22"/>
          <w:szCs w:val="22"/>
        </w:rPr>
        <w:t>Dumping or discharge of water based muds and/or cuttings is only allowed in line with relevant OSPAR agreements</w:t>
      </w:r>
      <w:r w:rsidRPr="007C7B99">
        <w:rPr>
          <w:rFonts w:ascii="Georgia" w:eastAsiaTheme="minorHAnsi" w:hAnsi="Georgia" w:cs="RotisSansSerif"/>
          <w:sz w:val="22"/>
          <w:szCs w:val="22"/>
        </w:rPr>
        <w:t>.</w:t>
      </w:r>
    </w:p>
    <w:p w14:paraId="3EE1C115" w14:textId="1B44B3E1" w:rsidR="00A55EDE" w:rsidRPr="007C7B99" w:rsidRDefault="009377EB" w:rsidP="007C7B99">
      <w:pPr>
        <w:pStyle w:val="Listenabsatz"/>
        <w:numPr>
          <w:ilvl w:val="0"/>
          <w:numId w:val="5"/>
        </w:num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Infrastructural works which are necessary for the supply of the islands and the Halligen with, amongst others, gas, water and electricity, or other utilities, shall be carried out in a way that the environmental impact on the Wadden Sea is kept to a minimum and permanent, or long lasting, impacts are avoided.</w:t>
      </w:r>
    </w:p>
    <w:p w14:paraId="11980320" w14:textId="714FFABC" w:rsidR="00CF2D42" w:rsidRPr="007C7B99" w:rsidRDefault="00122938" w:rsidP="002B0E38">
      <w:pPr>
        <w:pStyle w:val="Listenabsatz"/>
        <w:numPr>
          <w:ilvl w:val="0"/>
          <w:numId w:val="5"/>
        </w:numPr>
        <w:autoSpaceDE w:val="0"/>
        <w:autoSpaceDN w:val="0"/>
        <w:adjustRightInd w:val="0"/>
        <w:spacing w:afterLines="170" w:after="408" w:line="340" w:lineRule="exact"/>
        <w:rPr>
          <w:rFonts w:ascii="Georgia" w:hAnsi="Georgia"/>
          <w:sz w:val="22"/>
          <w:szCs w:val="22"/>
          <w:lang w:val="en-GB"/>
        </w:rPr>
      </w:pPr>
      <w:r w:rsidRPr="007C7B99">
        <w:rPr>
          <w:rFonts w:ascii="Georgia" w:eastAsiaTheme="minorHAnsi" w:hAnsi="Georgia" w:cs="RotisSansSerif"/>
          <w:sz w:val="22"/>
          <w:szCs w:val="22"/>
        </w:rPr>
        <w:t>The construction of pipelines shall be such that the environmental impact on the Wadden Sea ecosystem is kept to a minimum and permanent, or long lasting, negative impacts are avoided, and if this is not possible, compensated. In the Nature Conservation Area, new licenses for the construction of pipelines in the tidal area for the transport of gas and oil shall not be issued unless in the absence of alternative solutions, a plan or project must nevertheless be carried out for imperative reasons of overriding public interest, including those of a social or economic nature</w:t>
      </w:r>
      <w:r w:rsidR="009377EB" w:rsidRPr="007C7B99">
        <w:rPr>
          <w:rFonts w:ascii="Georgia" w:eastAsiaTheme="minorHAnsi" w:hAnsi="Georgia" w:cs="RotisSansSerif"/>
          <w:sz w:val="22"/>
          <w:szCs w:val="22"/>
        </w:rPr>
        <w:t>” (WSP, 2010)</w:t>
      </w:r>
      <w:r w:rsidRPr="007C7B99">
        <w:rPr>
          <w:rFonts w:ascii="Georgia" w:eastAsiaTheme="minorHAnsi" w:hAnsi="Georgia" w:cs="RotisSansSerif"/>
          <w:sz w:val="22"/>
          <w:szCs w:val="22"/>
        </w:rPr>
        <w:t>.</w:t>
      </w:r>
    </w:p>
    <w:p w14:paraId="57473FF7" w14:textId="1BA76C88" w:rsidR="00D72CAB" w:rsidRPr="007C7B99" w:rsidRDefault="00D72CAB" w:rsidP="007C7B99">
      <w:pPr>
        <w:autoSpaceDE w:val="0"/>
        <w:autoSpaceDN w:val="0"/>
        <w:adjustRightInd w:val="0"/>
        <w:spacing w:afterLines="170" w:after="408" w:line="340" w:lineRule="exact"/>
        <w:rPr>
          <w:rFonts w:ascii="Georgia" w:hAnsi="Georgia"/>
          <w:sz w:val="22"/>
          <w:szCs w:val="22"/>
        </w:rPr>
      </w:pPr>
      <w:r w:rsidRPr="007C7B99">
        <w:rPr>
          <w:rFonts w:ascii="Georgia" w:hAnsi="Georgia"/>
          <w:sz w:val="22"/>
          <w:szCs w:val="22"/>
        </w:rPr>
        <w:t>In the Netherlands, all activities related to exploration and exploitation are subject to the strictest regulations probably worldwide. They will be carried out in accordance with binding international and national mining and nature protection legislation, and in</w:t>
      </w:r>
      <w:r w:rsidR="007C7B99">
        <w:rPr>
          <w:rFonts w:ascii="Georgia" w:hAnsi="Georgia"/>
          <w:sz w:val="22"/>
          <w:szCs w:val="22"/>
        </w:rPr>
        <w:t xml:space="preserve"> </w:t>
      </w:r>
      <w:r w:rsidRPr="007C7B99">
        <w:rPr>
          <w:rFonts w:ascii="Georgia" w:hAnsi="Georgia"/>
          <w:sz w:val="22"/>
          <w:szCs w:val="22"/>
        </w:rPr>
        <w:t>compliance with the Wadden Sea Plan (Stade Declaration 1997) and international regulations, for example PSSA, OSPAR, AEWA, MARPOL, and the Ramsar and Bonn Conventions.</w:t>
      </w:r>
    </w:p>
    <w:p w14:paraId="4D887CD0" w14:textId="77777777" w:rsidR="00A07542" w:rsidRDefault="00A07542" w:rsidP="007C7B99">
      <w:pPr>
        <w:pStyle w:val="3subheadings"/>
      </w:pPr>
      <w:r w:rsidRPr="007C7B99">
        <w:t xml:space="preserve">Legislation (Laws, permission procedures) </w:t>
      </w:r>
    </w:p>
    <w:p w14:paraId="0A9470FF" w14:textId="0065679A" w:rsidR="00711925" w:rsidRPr="007C7B99" w:rsidRDefault="00CF2D42" w:rsidP="007C7B99">
      <w:pPr>
        <w:spacing w:afterLines="170" w:after="408" w:line="340" w:lineRule="exact"/>
        <w:rPr>
          <w:rFonts w:ascii="Georgia" w:hAnsi="Georgia"/>
          <w:sz w:val="22"/>
          <w:szCs w:val="22"/>
        </w:rPr>
      </w:pPr>
      <w:r w:rsidRPr="007C7B99">
        <w:rPr>
          <w:rFonts w:ascii="Georgia" w:hAnsi="Georgia"/>
          <w:sz w:val="22"/>
          <w:szCs w:val="22"/>
          <w:lang w:val="en-GB"/>
        </w:rPr>
        <w:t xml:space="preserve">These agreements are backed up with the legal framework presented in </w:t>
      </w:r>
      <w:r w:rsidRPr="007C7B99">
        <w:rPr>
          <w:rFonts w:ascii="Georgia" w:hAnsi="Georgia"/>
          <w:sz w:val="22"/>
          <w:szCs w:val="22"/>
        </w:rPr>
        <w:t xml:space="preserve">Table 3. </w:t>
      </w:r>
    </w:p>
    <w:p w14:paraId="7B5CCBFD" w14:textId="7B347BEB" w:rsidR="00A07542" w:rsidRPr="007C7B99" w:rsidRDefault="00A07542" w:rsidP="007C7B99">
      <w:pPr>
        <w:pStyle w:val="3subheadings"/>
      </w:pPr>
      <w:r w:rsidRPr="007C7B99">
        <w:t>The Netherlands</w:t>
      </w:r>
    </w:p>
    <w:p w14:paraId="397DFFE0" w14:textId="281D3F6D" w:rsidR="00A07542" w:rsidRPr="007C7B99" w:rsidRDefault="00A07542" w:rsidP="007C7B99">
      <w:p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 xml:space="preserve">The legal framework </w:t>
      </w:r>
      <w:r w:rsidR="007C7B99" w:rsidRPr="007C7B99">
        <w:rPr>
          <w:rFonts w:ascii="Georgia" w:eastAsiaTheme="minorHAnsi" w:hAnsi="Georgia" w:cs="RotisSansSerif"/>
          <w:sz w:val="22"/>
          <w:szCs w:val="22"/>
        </w:rPr>
        <w:t>in regard to</w:t>
      </w:r>
      <w:r w:rsidRPr="007C7B99">
        <w:rPr>
          <w:rFonts w:ascii="Georgia" w:eastAsiaTheme="minorHAnsi" w:hAnsi="Georgia" w:cs="RotisSansSerif"/>
          <w:sz w:val="22"/>
          <w:szCs w:val="22"/>
        </w:rPr>
        <w:t xml:space="preserve"> energy from oil and gas in the Dutch part of the Wadden Sea is based on the following:</w:t>
      </w:r>
    </w:p>
    <w:p w14:paraId="31CE0CDE" w14:textId="693D7489" w:rsidR="00A07542" w:rsidRPr="007C7B99" w:rsidRDefault="00A07542" w:rsidP="007C7B99">
      <w:pPr>
        <w:pStyle w:val="Listenabsatz"/>
        <w:numPr>
          <w:ilvl w:val="0"/>
          <w:numId w:val="22"/>
        </w:num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lastRenderedPageBreak/>
        <w:t>The Mining Law;</w:t>
      </w:r>
    </w:p>
    <w:p w14:paraId="48D067FB" w14:textId="77777777" w:rsidR="00A07542" w:rsidRPr="007C7B99" w:rsidRDefault="00A07542" w:rsidP="007C7B99">
      <w:pPr>
        <w:pStyle w:val="Listenabsatz"/>
        <w:numPr>
          <w:ilvl w:val="0"/>
          <w:numId w:val="22"/>
        </w:num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The Nature Protection Law;</w:t>
      </w:r>
    </w:p>
    <w:p w14:paraId="7E31DF06" w14:textId="77777777" w:rsidR="00A07542" w:rsidRPr="007C7B99" w:rsidRDefault="00A07542" w:rsidP="007C7B99">
      <w:pPr>
        <w:pStyle w:val="Listenabsatz"/>
        <w:numPr>
          <w:ilvl w:val="0"/>
          <w:numId w:val="22"/>
        </w:num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 xml:space="preserve">The Law in regards to environmental licenses. </w:t>
      </w:r>
    </w:p>
    <w:p w14:paraId="4456E61C" w14:textId="5907BEF9" w:rsidR="00A07542" w:rsidRPr="007C7B99" w:rsidRDefault="00A07542" w:rsidP="007C7B99">
      <w:pPr>
        <w:autoSpaceDE w:val="0"/>
        <w:autoSpaceDN w:val="0"/>
        <w:adjustRightInd w:val="0"/>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 xml:space="preserve">The Netherlands applies the ‘Hand on the tab’ principle in regards to production of gas under the Wadden Sea. Production of gas is allowed if the subsidence caused by the gas extraction does not negatively impact the nature of the Wadden Sea. Three factors are taken into consideration; sea level rise, sedimentation in the Wadden Sea (natural recovery capacity) and subsidence caused by gas exploration. </w:t>
      </w:r>
    </w:p>
    <w:p w14:paraId="58CFD847" w14:textId="3F00710F" w:rsidR="00D72CAB" w:rsidRPr="007C7B99" w:rsidRDefault="00A07542" w:rsidP="007C7B99">
      <w:pPr>
        <w:autoSpaceDE w:val="0"/>
        <w:autoSpaceDN w:val="0"/>
        <w:adjustRightInd w:val="0"/>
        <w:spacing w:afterLines="170" w:after="408" w:line="340" w:lineRule="exact"/>
        <w:rPr>
          <w:rFonts w:ascii="Georgia" w:hAnsi="Georgia"/>
          <w:sz w:val="22"/>
          <w:szCs w:val="22"/>
        </w:rPr>
      </w:pPr>
      <w:r w:rsidRPr="007C7B99">
        <w:rPr>
          <w:rFonts w:ascii="Georgia" w:eastAsiaTheme="minorHAnsi" w:hAnsi="Georgia" w:cs="RotisSansSerif"/>
          <w:sz w:val="22"/>
          <w:szCs w:val="22"/>
        </w:rPr>
        <w:t xml:space="preserve">In the Dutch Wadden Sea there is one site for the exploitation of natural gas: Zuidwal. All other production sites are located outside the nominated property, but the wells or reservoir may extend under it. The Mining Law limits mining activities in the Wadden area. New mining constructions are not allowed in the Wadden Sea, on the Wadden islands and in the North Sea (7 km up north from the Wadden Islands). Next to that, shared usage of mining constructions needs to be considered within 12 miles of the coast and view disturbance needs to be limited before new constructions are allowed.  </w:t>
      </w:r>
      <w:r w:rsidR="006B3980">
        <w:rPr>
          <w:rFonts w:ascii="Georgia" w:eastAsiaTheme="minorHAnsi" w:hAnsi="Georgia" w:cs="RotisSansSerif"/>
          <w:sz w:val="22"/>
          <w:szCs w:val="22"/>
        </w:rPr>
        <w:br/>
      </w:r>
      <w:r w:rsidR="00D72CAB" w:rsidRPr="007C7B99">
        <w:rPr>
          <w:rFonts w:ascii="Georgia" w:hAnsi="Georgia"/>
          <w:sz w:val="22"/>
          <w:szCs w:val="22"/>
        </w:rPr>
        <w:t xml:space="preserve">Oil extraction does not take place around the Wadden Sea. </w:t>
      </w:r>
    </w:p>
    <w:p w14:paraId="44F35BE8" w14:textId="77777777" w:rsidR="00D72CAB" w:rsidRPr="00C813CE" w:rsidRDefault="00D72CAB" w:rsidP="00A07542">
      <w:pPr>
        <w:autoSpaceDE w:val="0"/>
        <w:autoSpaceDN w:val="0"/>
        <w:adjustRightInd w:val="0"/>
        <w:rPr>
          <w:rFonts w:ascii="Georgia" w:eastAsiaTheme="minorHAnsi" w:hAnsi="Georgia" w:cs="RotisSansSerif"/>
          <w:sz w:val="20"/>
          <w:szCs w:val="20"/>
        </w:rPr>
      </w:pPr>
    </w:p>
    <w:p w14:paraId="5D323ADA" w14:textId="765EBAAF" w:rsidR="00CF2D42" w:rsidRPr="007C7B99" w:rsidRDefault="00CF2D42" w:rsidP="00CF2D42">
      <w:pPr>
        <w:spacing w:line="276" w:lineRule="auto"/>
        <w:rPr>
          <w:rFonts w:ascii="Georgia" w:hAnsi="Georgia"/>
          <w:sz w:val="18"/>
          <w:szCs w:val="18"/>
        </w:rPr>
      </w:pPr>
      <w:r w:rsidRPr="007C7B99">
        <w:rPr>
          <w:rFonts w:ascii="Georgia" w:hAnsi="Georgia"/>
          <w:b/>
          <w:bCs/>
          <w:sz w:val="18"/>
          <w:szCs w:val="18"/>
        </w:rPr>
        <w:t>Table 3.</w:t>
      </w:r>
      <w:r w:rsidRPr="007C7B99">
        <w:rPr>
          <w:rFonts w:ascii="Georgia" w:hAnsi="Georgia"/>
          <w:sz w:val="18"/>
          <w:szCs w:val="18"/>
        </w:rPr>
        <w:t xml:space="preserve"> Legal framework that regulates the oil and gas exploitation activities</w:t>
      </w:r>
    </w:p>
    <w:tbl>
      <w:tblPr>
        <w:tblStyle w:val="Gitternetztabelle5dunkelAkzent5"/>
        <w:tblW w:w="0" w:type="auto"/>
        <w:tblLook w:val="04A0" w:firstRow="1" w:lastRow="0" w:firstColumn="1" w:lastColumn="0" w:noHBand="0" w:noVBand="1"/>
      </w:tblPr>
      <w:tblGrid>
        <w:gridCol w:w="2122"/>
        <w:gridCol w:w="2604"/>
        <w:gridCol w:w="2617"/>
        <w:gridCol w:w="2286"/>
      </w:tblGrid>
      <w:tr w:rsidR="00DE4F0B" w:rsidRPr="007C7B99" w14:paraId="6278E74F" w14:textId="2631661F" w:rsidTr="006B39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14:paraId="7BBF94A4" w14:textId="77777777" w:rsidR="00DE4F0B" w:rsidRPr="007C7B99" w:rsidRDefault="00DE4F0B" w:rsidP="00711925">
            <w:pPr>
              <w:tabs>
                <w:tab w:val="right" w:pos="9639"/>
              </w:tabs>
              <w:spacing w:line="276" w:lineRule="auto"/>
              <w:jc w:val="center"/>
              <w:rPr>
                <w:rFonts w:ascii="Arial" w:hAnsi="Arial" w:cs="Arial"/>
                <w:sz w:val="20"/>
                <w:szCs w:val="20"/>
              </w:rPr>
            </w:pPr>
          </w:p>
        </w:tc>
        <w:tc>
          <w:tcPr>
            <w:tcW w:w="2604" w:type="dxa"/>
          </w:tcPr>
          <w:p w14:paraId="7FB645A5" w14:textId="762C8844" w:rsidR="00DE4F0B" w:rsidRPr="007C7B99" w:rsidRDefault="00DE4F0B" w:rsidP="00711925">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 xml:space="preserve">Legal </w:t>
            </w:r>
            <w:r w:rsidR="00054CC3" w:rsidRPr="007C7B99">
              <w:rPr>
                <w:rFonts w:ascii="Arial" w:hAnsi="Arial" w:cs="Arial"/>
                <w:sz w:val="20"/>
                <w:szCs w:val="20"/>
              </w:rPr>
              <w:t>framework</w:t>
            </w:r>
          </w:p>
        </w:tc>
        <w:tc>
          <w:tcPr>
            <w:tcW w:w="2617" w:type="dxa"/>
          </w:tcPr>
          <w:p w14:paraId="0E9AC4B4" w14:textId="6D4ED749" w:rsidR="00DE4F0B" w:rsidRPr="007C7B99" w:rsidRDefault="00DE4F0B" w:rsidP="00711925">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Governance/Responsible Authority to grant permits</w:t>
            </w:r>
          </w:p>
        </w:tc>
        <w:tc>
          <w:tcPr>
            <w:tcW w:w="2286" w:type="dxa"/>
          </w:tcPr>
          <w:p w14:paraId="50276949" w14:textId="1B17A482" w:rsidR="00DE4F0B" w:rsidRPr="007C7B99" w:rsidRDefault="00DE4F0B" w:rsidP="00711925">
            <w:pPr>
              <w:tabs>
                <w:tab w:val="right" w:pos="9639"/>
              </w:tabs>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Enterprise (?)</w:t>
            </w:r>
          </w:p>
        </w:tc>
      </w:tr>
      <w:tr w:rsidR="00DE4F0B" w:rsidRPr="007C7B99" w14:paraId="3C458FAD" w14:textId="12FEEDF0" w:rsidTr="006B39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534EAB33" w14:textId="51868E93" w:rsidR="00DE4F0B" w:rsidRPr="007C7B99" w:rsidRDefault="00DE4F0B" w:rsidP="00711925">
            <w:pPr>
              <w:tabs>
                <w:tab w:val="right" w:pos="9639"/>
              </w:tabs>
              <w:spacing w:line="276" w:lineRule="auto"/>
              <w:rPr>
                <w:rFonts w:ascii="Arial" w:hAnsi="Arial" w:cs="Arial"/>
                <w:sz w:val="20"/>
                <w:szCs w:val="20"/>
              </w:rPr>
            </w:pPr>
            <w:r w:rsidRPr="007C7B99">
              <w:rPr>
                <w:rFonts w:ascii="Arial" w:hAnsi="Arial" w:cs="Arial"/>
                <w:sz w:val="20"/>
                <w:szCs w:val="20"/>
              </w:rPr>
              <w:t xml:space="preserve">Wadden Sea World Heritage property in… </w:t>
            </w:r>
          </w:p>
        </w:tc>
        <w:tc>
          <w:tcPr>
            <w:tcW w:w="2604" w:type="dxa"/>
          </w:tcPr>
          <w:p w14:paraId="0C0A93C7" w14:textId="77777777" w:rsidR="00DE4F0B" w:rsidRPr="007C7B99" w:rsidRDefault="00DE4F0B" w:rsidP="00711925">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617" w:type="dxa"/>
          </w:tcPr>
          <w:p w14:paraId="0CD40161" w14:textId="77777777" w:rsidR="00DE4F0B" w:rsidRPr="007C7B99" w:rsidRDefault="00DE4F0B" w:rsidP="00711925">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286" w:type="dxa"/>
          </w:tcPr>
          <w:p w14:paraId="58FAD08D" w14:textId="77777777" w:rsidR="00DE4F0B" w:rsidRPr="007C7B99" w:rsidRDefault="00DE4F0B" w:rsidP="00711925">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DE4F0B" w:rsidRPr="007C7B99" w14:paraId="5288A209" w14:textId="291F8C30" w:rsidTr="006B3980">
        <w:trPr>
          <w:trHeight w:val="1039"/>
        </w:trPr>
        <w:tc>
          <w:tcPr>
            <w:cnfStyle w:val="001000000000" w:firstRow="0" w:lastRow="0" w:firstColumn="1" w:lastColumn="0" w:oddVBand="0" w:evenVBand="0" w:oddHBand="0" w:evenHBand="0" w:firstRowFirstColumn="0" w:firstRowLastColumn="0" w:lastRowFirstColumn="0" w:lastRowLastColumn="0"/>
            <w:tcW w:w="2122" w:type="dxa"/>
          </w:tcPr>
          <w:p w14:paraId="53A5A47B" w14:textId="77777777" w:rsidR="00DE4F0B" w:rsidRPr="007C7B99" w:rsidRDefault="00DE4F0B" w:rsidP="00711925">
            <w:pPr>
              <w:tabs>
                <w:tab w:val="right" w:pos="9639"/>
              </w:tabs>
              <w:spacing w:line="276" w:lineRule="auto"/>
              <w:jc w:val="right"/>
              <w:rPr>
                <w:rFonts w:ascii="Arial" w:hAnsi="Arial" w:cs="Arial"/>
                <w:b w:val="0"/>
                <w:bCs w:val="0"/>
                <w:sz w:val="20"/>
                <w:szCs w:val="20"/>
              </w:rPr>
            </w:pPr>
          </w:p>
          <w:p w14:paraId="14A3EB36" w14:textId="55BB03C2" w:rsidR="00DE4F0B" w:rsidRPr="007C7B99" w:rsidRDefault="00DE4F0B" w:rsidP="00711925">
            <w:pPr>
              <w:tabs>
                <w:tab w:val="right" w:pos="9639"/>
              </w:tabs>
              <w:spacing w:line="276" w:lineRule="auto"/>
              <w:jc w:val="right"/>
              <w:rPr>
                <w:rFonts w:ascii="Arial" w:hAnsi="Arial" w:cs="Arial"/>
                <w:sz w:val="20"/>
                <w:szCs w:val="20"/>
              </w:rPr>
            </w:pPr>
            <w:r w:rsidRPr="007C7B99">
              <w:rPr>
                <w:rFonts w:ascii="Arial" w:hAnsi="Arial" w:cs="Arial"/>
                <w:sz w:val="20"/>
                <w:szCs w:val="20"/>
              </w:rPr>
              <w:t xml:space="preserve">…the Netherlands </w:t>
            </w:r>
          </w:p>
        </w:tc>
        <w:tc>
          <w:tcPr>
            <w:tcW w:w="2604" w:type="dxa"/>
          </w:tcPr>
          <w:p w14:paraId="21AE4FA9" w14:textId="77777777" w:rsidR="00D72CAB" w:rsidRPr="007C7B99" w:rsidRDefault="00D72CAB" w:rsidP="00C813C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0"/>
                <w:szCs w:val="20"/>
              </w:rPr>
            </w:pPr>
            <w:r w:rsidRPr="007C7B99">
              <w:rPr>
                <w:rFonts w:ascii="Arial" w:eastAsiaTheme="minorHAnsi" w:hAnsi="Arial" w:cs="Arial"/>
                <w:sz w:val="20"/>
                <w:szCs w:val="20"/>
              </w:rPr>
              <w:t>The Mining Law;</w:t>
            </w:r>
          </w:p>
          <w:p w14:paraId="3732DDC3" w14:textId="77777777" w:rsidR="00D72CAB" w:rsidRPr="007C7B99" w:rsidRDefault="00D72CAB" w:rsidP="00C813C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eastAsiaTheme="minorHAnsi" w:hAnsi="Arial" w:cs="Arial"/>
                <w:sz w:val="20"/>
                <w:szCs w:val="20"/>
              </w:rPr>
            </w:pPr>
            <w:r w:rsidRPr="007C7B99">
              <w:rPr>
                <w:rFonts w:ascii="Arial" w:eastAsiaTheme="minorHAnsi" w:hAnsi="Arial" w:cs="Arial"/>
                <w:sz w:val="20"/>
                <w:szCs w:val="20"/>
              </w:rPr>
              <w:t>The Nature Protection Law;</w:t>
            </w:r>
          </w:p>
          <w:p w14:paraId="04B57518" w14:textId="357253BD" w:rsidR="00D72CAB" w:rsidRPr="007C7B99" w:rsidRDefault="00D72CAB" w:rsidP="00D72CAB">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eastAsiaTheme="minorHAnsi" w:hAnsi="Arial" w:cs="Arial"/>
                <w:sz w:val="20"/>
                <w:szCs w:val="20"/>
              </w:rPr>
              <w:t>The Law in regards to environmental licenses</w:t>
            </w:r>
          </w:p>
          <w:p w14:paraId="4F4192EC" w14:textId="77777777" w:rsidR="00D72CAB" w:rsidRPr="007C7B99" w:rsidRDefault="00D72CAB" w:rsidP="00711925">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6F833900" w14:textId="697CF9DB" w:rsidR="00DE4F0B" w:rsidRPr="007C7B99" w:rsidRDefault="00DE4F0B" w:rsidP="00711925">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617" w:type="dxa"/>
          </w:tcPr>
          <w:p w14:paraId="182EB2A8" w14:textId="5E9759DE"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286" w:type="dxa"/>
          </w:tcPr>
          <w:p w14:paraId="3A51D48C" w14:textId="3925E120"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Gas: …?</w:t>
            </w:r>
          </w:p>
        </w:tc>
      </w:tr>
      <w:tr w:rsidR="00DE4F0B" w:rsidRPr="007C7B99" w14:paraId="540FDAB2" w14:textId="7053C0CB" w:rsidTr="006B39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5EBD064A" w14:textId="455661CC" w:rsidR="00DE4F0B" w:rsidRPr="007C7B99" w:rsidRDefault="00DE4F0B" w:rsidP="00711925">
            <w:pPr>
              <w:tabs>
                <w:tab w:val="right" w:pos="9639"/>
              </w:tabs>
              <w:spacing w:line="276" w:lineRule="auto"/>
              <w:jc w:val="right"/>
              <w:rPr>
                <w:rFonts w:ascii="Arial" w:hAnsi="Arial" w:cs="Arial"/>
                <w:sz w:val="20"/>
                <w:szCs w:val="20"/>
              </w:rPr>
            </w:pPr>
            <w:r w:rsidRPr="007C7B99">
              <w:rPr>
                <w:rFonts w:ascii="Arial" w:hAnsi="Arial" w:cs="Arial"/>
                <w:sz w:val="20"/>
                <w:szCs w:val="20"/>
              </w:rPr>
              <w:t>Lower Saxony</w:t>
            </w:r>
          </w:p>
        </w:tc>
        <w:tc>
          <w:tcPr>
            <w:tcW w:w="2604" w:type="dxa"/>
          </w:tcPr>
          <w:p w14:paraId="14A7289E" w14:textId="286E9164" w:rsidR="00DE4F0B" w:rsidRPr="007C7B99" w:rsidRDefault="008C6F73" w:rsidP="00711925">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C7B99">
              <w:rPr>
                <w:rFonts w:ascii="Arial" w:hAnsi="Arial" w:cs="Arial"/>
                <w:sz w:val="20"/>
                <w:szCs w:val="20"/>
              </w:rPr>
              <w:t>Regulated by the National Park Act</w:t>
            </w:r>
            <w:r w:rsidR="0052521C" w:rsidRPr="007C7B99">
              <w:rPr>
                <w:rFonts w:ascii="Arial" w:hAnsi="Arial" w:cs="Arial"/>
                <w:sz w:val="20"/>
                <w:szCs w:val="20"/>
              </w:rPr>
              <w:t xml:space="preserve"> </w:t>
            </w:r>
          </w:p>
        </w:tc>
        <w:tc>
          <w:tcPr>
            <w:tcW w:w="2617" w:type="dxa"/>
          </w:tcPr>
          <w:p w14:paraId="6BCDDFCE" w14:textId="7A8A40C3" w:rsidR="00DE4F0B" w:rsidRPr="007C7B99" w:rsidRDefault="00DE4F0B" w:rsidP="00E91356">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C7B99">
              <w:rPr>
                <w:rFonts w:ascii="Arial" w:hAnsi="Arial" w:cs="Arial"/>
                <w:sz w:val="20"/>
                <w:szCs w:val="20"/>
              </w:rPr>
              <w:t xml:space="preserve">State </w:t>
            </w:r>
            <w:r w:rsidR="00E91356" w:rsidRPr="007C7B99">
              <w:rPr>
                <w:rFonts w:ascii="Arial" w:hAnsi="Arial" w:cs="Arial"/>
                <w:sz w:val="20"/>
                <w:szCs w:val="20"/>
              </w:rPr>
              <w:t xml:space="preserve">Authority </w:t>
            </w:r>
            <w:r w:rsidRPr="007C7B99">
              <w:rPr>
                <w:rFonts w:ascii="Arial" w:hAnsi="Arial" w:cs="Arial"/>
                <w:sz w:val="20"/>
                <w:szCs w:val="20"/>
              </w:rPr>
              <w:t>for Mining, Energy and Geology</w:t>
            </w:r>
            <w:r w:rsidR="00E91356" w:rsidRPr="007C7B99">
              <w:rPr>
                <w:rFonts w:ascii="Arial" w:hAnsi="Arial" w:cs="Arial"/>
                <w:sz w:val="20"/>
                <w:szCs w:val="20"/>
              </w:rPr>
              <w:t xml:space="preserve"> (LBEG)</w:t>
            </w:r>
          </w:p>
        </w:tc>
        <w:tc>
          <w:tcPr>
            <w:tcW w:w="2286" w:type="dxa"/>
          </w:tcPr>
          <w:p w14:paraId="581825F4" w14:textId="383EF7D8" w:rsidR="00DE4F0B" w:rsidRPr="007C7B99" w:rsidRDefault="00DE4F0B" w:rsidP="00711925">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C7B99">
              <w:rPr>
                <w:rFonts w:ascii="Arial" w:hAnsi="Arial" w:cs="Arial"/>
                <w:sz w:val="20"/>
                <w:szCs w:val="20"/>
              </w:rPr>
              <w:t>NA</w:t>
            </w:r>
          </w:p>
        </w:tc>
      </w:tr>
      <w:tr w:rsidR="00DE4F0B" w:rsidRPr="007C7B99" w14:paraId="5537BCE7" w14:textId="3174E55F" w:rsidTr="006B3980">
        <w:tc>
          <w:tcPr>
            <w:cnfStyle w:val="001000000000" w:firstRow="0" w:lastRow="0" w:firstColumn="1" w:lastColumn="0" w:oddVBand="0" w:evenVBand="0" w:oddHBand="0" w:evenHBand="0" w:firstRowFirstColumn="0" w:firstRowLastColumn="0" w:lastRowFirstColumn="0" w:lastRowLastColumn="0"/>
            <w:tcW w:w="2122" w:type="dxa"/>
          </w:tcPr>
          <w:p w14:paraId="7F45B80D" w14:textId="1DF29EC3" w:rsidR="00DE4F0B" w:rsidRPr="007C7B99" w:rsidRDefault="00DE4F0B" w:rsidP="00711925">
            <w:pPr>
              <w:tabs>
                <w:tab w:val="right" w:pos="9639"/>
              </w:tabs>
              <w:spacing w:line="276" w:lineRule="auto"/>
              <w:jc w:val="right"/>
              <w:rPr>
                <w:rFonts w:ascii="Arial" w:hAnsi="Arial" w:cs="Arial"/>
                <w:sz w:val="20"/>
                <w:szCs w:val="20"/>
              </w:rPr>
            </w:pPr>
            <w:r w:rsidRPr="007C7B99">
              <w:rPr>
                <w:rFonts w:ascii="Arial" w:hAnsi="Arial" w:cs="Arial"/>
                <w:sz w:val="20"/>
                <w:szCs w:val="20"/>
              </w:rPr>
              <w:t>Hamburg</w:t>
            </w:r>
          </w:p>
        </w:tc>
        <w:tc>
          <w:tcPr>
            <w:tcW w:w="2604" w:type="dxa"/>
          </w:tcPr>
          <w:p w14:paraId="30B2BF50" w14:textId="63B9B436"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 xml:space="preserve">Prohibited by the </w:t>
            </w:r>
            <w:r w:rsidR="008C6F73" w:rsidRPr="007C7B99">
              <w:rPr>
                <w:rFonts w:ascii="Arial" w:hAnsi="Arial" w:cs="Arial"/>
                <w:sz w:val="20"/>
                <w:szCs w:val="20"/>
              </w:rPr>
              <w:t>National Park Act</w:t>
            </w:r>
          </w:p>
        </w:tc>
        <w:tc>
          <w:tcPr>
            <w:tcW w:w="2617" w:type="dxa"/>
          </w:tcPr>
          <w:p w14:paraId="54622BD0" w14:textId="6DDB7453"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Hamburg Wadden Sea National Park (?)</w:t>
            </w:r>
          </w:p>
        </w:tc>
        <w:tc>
          <w:tcPr>
            <w:tcW w:w="2286" w:type="dxa"/>
          </w:tcPr>
          <w:p w14:paraId="6C903E48" w14:textId="6A45676E"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NA</w:t>
            </w:r>
          </w:p>
        </w:tc>
      </w:tr>
      <w:tr w:rsidR="00DE4F0B" w:rsidRPr="007C7B99" w14:paraId="7E3C42C3" w14:textId="74B24903" w:rsidTr="006B39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5656CACD" w14:textId="77777777" w:rsidR="00DE4F0B" w:rsidRPr="007C7B99" w:rsidRDefault="00DE4F0B" w:rsidP="00711925">
            <w:pPr>
              <w:tabs>
                <w:tab w:val="right" w:pos="9639"/>
              </w:tabs>
              <w:spacing w:line="276" w:lineRule="auto"/>
              <w:jc w:val="right"/>
              <w:rPr>
                <w:rFonts w:ascii="Arial" w:hAnsi="Arial" w:cs="Arial"/>
                <w:b w:val="0"/>
                <w:bCs w:val="0"/>
                <w:sz w:val="20"/>
                <w:szCs w:val="20"/>
              </w:rPr>
            </w:pPr>
          </w:p>
          <w:p w14:paraId="5AAEEEFE" w14:textId="77777777" w:rsidR="00DE4F0B" w:rsidRPr="007C7B99" w:rsidRDefault="00DE4F0B" w:rsidP="00711925">
            <w:pPr>
              <w:tabs>
                <w:tab w:val="right" w:pos="9639"/>
              </w:tabs>
              <w:spacing w:line="276" w:lineRule="auto"/>
              <w:jc w:val="right"/>
              <w:rPr>
                <w:rFonts w:ascii="Arial" w:hAnsi="Arial" w:cs="Arial"/>
                <w:sz w:val="20"/>
                <w:szCs w:val="20"/>
              </w:rPr>
            </w:pPr>
            <w:r w:rsidRPr="007C7B99">
              <w:rPr>
                <w:rFonts w:ascii="Arial" w:hAnsi="Arial" w:cs="Arial"/>
                <w:sz w:val="20"/>
                <w:szCs w:val="20"/>
              </w:rPr>
              <w:t>Schleswig-Holstein</w:t>
            </w:r>
          </w:p>
        </w:tc>
        <w:tc>
          <w:tcPr>
            <w:tcW w:w="2604" w:type="dxa"/>
          </w:tcPr>
          <w:p w14:paraId="04135BEC" w14:textId="4A75E0B3" w:rsidR="00DE4F0B" w:rsidRPr="007C7B99" w:rsidRDefault="008C6F73" w:rsidP="00711925">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C7B99">
              <w:rPr>
                <w:rFonts w:ascii="Arial" w:hAnsi="Arial" w:cs="Arial"/>
                <w:sz w:val="20"/>
                <w:szCs w:val="20"/>
              </w:rPr>
              <w:t>Regulated by the National Park Act</w:t>
            </w:r>
            <w:r w:rsidR="0052521C" w:rsidRPr="007C7B99">
              <w:rPr>
                <w:rFonts w:ascii="Arial" w:hAnsi="Arial" w:cs="Arial"/>
                <w:sz w:val="20"/>
                <w:szCs w:val="20"/>
              </w:rPr>
              <w:t xml:space="preserve"> and the Federal Mining Law</w:t>
            </w:r>
          </w:p>
        </w:tc>
        <w:tc>
          <w:tcPr>
            <w:tcW w:w="2617" w:type="dxa"/>
          </w:tcPr>
          <w:p w14:paraId="75BA1172" w14:textId="31156603" w:rsidR="00DE4F0B" w:rsidRPr="007C7B99" w:rsidRDefault="00A222B8" w:rsidP="00E91356">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C7B99">
              <w:rPr>
                <w:rFonts w:ascii="Arial" w:hAnsi="Arial" w:cs="Arial"/>
                <w:sz w:val="20"/>
                <w:szCs w:val="20"/>
              </w:rPr>
              <w:t xml:space="preserve">State </w:t>
            </w:r>
            <w:r w:rsidR="00E91356" w:rsidRPr="007C7B99">
              <w:rPr>
                <w:rFonts w:ascii="Arial" w:hAnsi="Arial" w:cs="Arial"/>
                <w:sz w:val="20"/>
                <w:szCs w:val="20"/>
              </w:rPr>
              <w:t xml:space="preserve">Authority </w:t>
            </w:r>
            <w:r w:rsidRPr="007C7B99">
              <w:rPr>
                <w:rFonts w:ascii="Arial" w:hAnsi="Arial" w:cs="Arial"/>
                <w:sz w:val="20"/>
                <w:szCs w:val="20"/>
              </w:rPr>
              <w:t>for Mining, Energy and Geology</w:t>
            </w:r>
            <w:r w:rsidR="00E91356" w:rsidRPr="007C7B99">
              <w:rPr>
                <w:rFonts w:ascii="Arial" w:hAnsi="Arial" w:cs="Arial"/>
                <w:sz w:val="20"/>
                <w:szCs w:val="20"/>
              </w:rPr>
              <w:t xml:space="preserve"> (LBEG)</w:t>
            </w:r>
          </w:p>
        </w:tc>
        <w:tc>
          <w:tcPr>
            <w:tcW w:w="2286" w:type="dxa"/>
          </w:tcPr>
          <w:p w14:paraId="76A7F7D7" w14:textId="471FFBE0" w:rsidR="00DE4F0B" w:rsidRPr="007C7B99" w:rsidRDefault="00A222B8" w:rsidP="00E91356">
            <w:pPr>
              <w:tabs>
                <w:tab w:val="right" w:pos="9639"/>
              </w:tabs>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C7B99">
              <w:rPr>
                <w:rFonts w:ascii="Arial" w:hAnsi="Arial" w:cs="Arial"/>
                <w:sz w:val="20"/>
                <w:szCs w:val="20"/>
              </w:rPr>
              <w:t>Oil: Wintershall Dea</w:t>
            </w:r>
          </w:p>
        </w:tc>
      </w:tr>
      <w:tr w:rsidR="00DE4F0B" w:rsidRPr="007C7B99" w14:paraId="5FE8AC85" w14:textId="24DBE7C5" w:rsidTr="006B3980">
        <w:tc>
          <w:tcPr>
            <w:cnfStyle w:val="001000000000" w:firstRow="0" w:lastRow="0" w:firstColumn="1" w:lastColumn="0" w:oddVBand="0" w:evenVBand="0" w:oddHBand="0" w:evenHBand="0" w:firstRowFirstColumn="0" w:firstRowLastColumn="0" w:lastRowFirstColumn="0" w:lastRowLastColumn="0"/>
            <w:tcW w:w="2122" w:type="dxa"/>
          </w:tcPr>
          <w:p w14:paraId="68DA38E2" w14:textId="77777777" w:rsidR="00DE4F0B" w:rsidRPr="007C7B99" w:rsidRDefault="00DE4F0B" w:rsidP="00711925">
            <w:pPr>
              <w:tabs>
                <w:tab w:val="right" w:pos="9639"/>
              </w:tabs>
              <w:spacing w:line="276" w:lineRule="auto"/>
              <w:jc w:val="right"/>
              <w:rPr>
                <w:rFonts w:ascii="Arial" w:hAnsi="Arial" w:cs="Arial"/>
                <w:sz w:val="20"/>
                <w:szCs w:val="20"/>
              </w:rPr>
            </w:pPr>
            <w:r w:rsidRPr="007C7B99">
              <w:rPr>
                <w:rFonts w:ascii="Arial" w:hAnsi="Arial" w:cs="Arial"/>
                <w:sz w:val="20"/>
                <w:szCs w:val="20"/>
              </w:rPr>
              <w:t>Denmark</w:t>
            </w:r>
          </w:p>
        </w:tc>
        <w:tc>
          <w:tcPr>
            <w:tcW w:w="2604" w:type="dxa"/>
          </w:tcPr>
          <w:p w14:paraId="16C534A9" w14:textId="405107E0"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B99">
              <w:rPr>
                <w:rFonts w:ascii="Arial" w:hAnsi="Arial" w:cs="Arial"/>
                <w:sz w:val="20"/>
                <w:szCs w:val="20"/>
              </w:rPr>
              <w:t>Prohibited by the Statutory Order on the Nature Reserve Wadden Sea</w:t>
            </w:r>
          </w:p>
        </w:tc>
        <w:tc>
          <w:tcPr>
            <w:tcW w:w="2617" w:type="dxa"/>
          </w:tcPr>
          <w:p w14:paraId="2681E2DB" w14:textId="7FA7FDB4"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286" w:type="dxa"/>
          </w:tcPr>
          <w:p w14:paraId="2357435D" w14:textId="77777777" w:rsidR="00DE4F0B" w:rsidRPr="007C7B99" w:rsidRDefault="00DE4F0B" w:rsidP="00711925">
            <w:pPr>
              <w:tabs>
                <w:tab w:val="right" w:pos="9639"/>
              </w:tabs>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3755749C" w14:textId="328DA4D0" w:rsidR="00172260" w:rsidRPr="008C6F73" w:rsidRDefault="00DE4F0B" w:rsidP="008561DC">
      <w:pPr>
        <w:spacing w:after="200" w:line="276" w:lineRule="auto"/>
        <w:rPr>
          <w:rFonts w:ascii="Georgia" w:hAnsi="Georgia"/>
          <w:sz w:val="16"/>
          <w:szCs w:val="16"/>
          <w:lang w:val="en-GB"/>
        </w:rPr>
      </w:pPr>
      <w:r w:rsidRPr="008C6F73">
        <w:rPr>
          <w:rFonts w:ascii="Georgia" w:hAnsi="Georgia"/>
          <w:sz w:val="16"/>
          <w:szCs w:val="16"/>
          <w:lang w:val="en-GB"/>
        </w:rPr>
        <w:t>Sources: QSR, 2017</w:t>
      </w:r>
      <w:r w:rsidR="008C6F73" w:rsidRPr="008C6F73">
        <w:rPr>
          <w:rFonts w:ascii="Georgia" w:hAnsi="Georgia"/>
          <w:sz w:val="16"/>
          <w:szCs w:val="16"/>
          <w:lang w:val="en-GB"/>
        </w:rPr>
        <w:t>; Nomination Dossier, 2012.</w:t>
      </w:r>
    </w:p>
    <w:p w14:paraId="340F1F9F" w14:textId="6B2009C1" w:rsidR="004D65C1" w:rsidRDefault="001A4598" w:rsidP="007C7B99">
      <w:pPr>
        <w:pStyle w:val="2sub-sections"/>
        <w:numPr>
          <w:ilvl w:val="0"/>
          <w:numId w:val="32"/>
        </w:numPr>
        <w:rPr>
          <w:rFonts w:ascii="Georgia" w:hAnsi="Georgia"/>
          <w:sz w:val="20"/>
          <w:szCs w:val="22"/>
          <w:u w:val="single"/>
          <w:lang w:val="en-GB"/>
        </w:rPr>
      </w:pPr>
      <w:r w:rsidRPr="007C7B99">
        <w:lastRenderedPageBreak/>
        <w:t>Trends</w:t>
      </w:r>
    </w:p>
    <w:p w14:paraId="2218109C" w14:textId="2CCEFFD0" w:rsidR="00541D44" w:rsidRPr="007C7B99" w:rsidRDefault="00B207F7" w:rsidP="007C7B99">
      <w:pPr>
        <w:spacing w:afterLines="170" w:after="408" w:line="340" w:lineRule="exact"/>
        <w:rPr>
          <w:rFonts w:ascii="Georgia" w:eastAsiaTheme="minorHAnsi" w:hAnsi="Georgia" w:cs="RotisSansSerif"/>
          <w:sz w:val="22"/>
          <w:szCs w:val="22"/>
        </w:rPr>
      </w:pPr>
      <w:r w:rsidRPr="007C7B99">
        <w:rPr>
          <w:rFonts w:ascii="Georgia" w:eastAsiaTheme="minorHAnsi" w:hAnsi="Georgia" w:cs="RotisSansSerif"/>
          <w:sz w:val="22"/>
          <w:szCs w:val="22"/>
        </w:rPr>
        <w:t>According to the National Park Act, the exploitation of oil is limited to the existing Mittelplate</w:t>
      </w:r>
      <w:r w:rsidR="00B065E6" w:rsidRPr="007C7B99">
        <w:rPr>
          <w:rFonts w:ascii="Georgia" w:eastAsiaTheme="minorHAnsi" w:hAnsi="Georgia" w:cs="RotisSansSerif"/>
          <w:sz w:val="22"/>
          <w:szCs w:val="22"/>
        </w:rPr>
        <w:t xml:space="preserve">. </w:t>
      </w:r>
      <w:r w:rsidR="00541D44" w:rsidRPr="007C7B99">
        <w:rPr>
          <w:rFonts w:ascii="Georgia" w:eastAsiaTheme="minorHAnsi" w:hAnsi="Georgia" w:cs="RotisSansSerif"/>
          <w:sz w:val="22"/>
          <w:szCs w:val="22"/>
        </w:rPr>
        <w:t>New exploitation installations for oil and gas will not be permitted. Gas and oil exploitation will continue through directional drilling.</w:t>
      </w:r>
      <w:r w:rsidR="00A222B8" w:rsidRPr="007C7B99">
        <w:rPr>
          <w:rFonts w:ascii="Georgia" w:eastAsiaTheme="minorHAnsi" w:hAnsi="Georgia" w:cs="RotisSansSerif"/>
          <w:sz w:val="22"/>
          <w:szCs w:val="22"/>
        </w:rPr>
        <w:t xml:space="preserve"> Some of these drillings </w:t>
      </w:r>
      <w:r w:rsidR="00E91356" w:rsidRPr="007C7B99">
        <w:rPr>
          <w:rFonts w:ascii="Georgia" w:eastAsiaTheme="minorHAnsi" w:hAnsi="Georgia" w:cs="RotisSansSerif"/>
          <w:sz w:val="22"/>
          <w:szCs w:val="22"/>
        </w:rPr>
        <w:t xml:space="preserve">from the Mittelplate </w:t>
      </w:r>
      <w:r w:rsidR="00A222B8" w:rsidRPr="007C7B99">
        <w:rPr>
          <w:rFonts w:ascii="Georgia" w:eastAsiaTheme="minorHAnsi" w:hAnsi="Georgia" w:cs="RotisSansSerif"/>
          <w:sz w:val="22"/>
          <w:szCs w:val="22"/>
        </w:rPr>
        <w:t>currently reach a length of 9,000m.</w:t>
      </w:r>
    </w:p>
    <w:p w14:paraId="203AE012" w14:textId="4E2665C4" w:rsidR="004D65C1" w:rsidRPr="007C7B99" w:rsidRDefault="004D65C1" w:rsidP="007C7B99">
      <w:pPr>
        <w:pStyle w:val="2sub-sections"/>
        <w:numPr>
          <w:ilvl w:val="0"/>
          <w:numId w:val="32"/>
        </w:numPr>
        <w:rPr>
          <w:sz w:val="24"/>
          <w:szCs w:val="24"/>
        </w:rPr>
      </w:pPr>
      <w:r w:rsidRPr="007C7B99">
        <w:t>Threats</w:t>
      </w:r>
      <w:r w:rsidRPr="007C7B99">
        <w:rPr>
          <w:sz w:val="24"/>
          <w:szCs w:val="24"/>
        </w:rPr>
        <w:t xml:space="preserve"> Oil and Gas</w:t>
      </w:r>
    </w:p>
    <w:p w14:paraId="48F35FFA" w14:textId="3A7ECAFC" w:rsidR="00A61C4F" w:rsidRPr="007C7B99" w:rsidRDefault="00A61C4F" w:rsidP="007C7B99">
      <w:pPr>
        <w:pStyle w:val="3subheadings"/>
        <w:rPr>
          <w:rFonts w:ascii="Georgia" w:hAnsi="Georgia"/>
          <w:i/>
          <w:iCs/>
          <w:sz w:val="22"/>
          <w:szCs w:val="22"/>
          <w:u w:val="single"/>
        </w:rPr>
      </w:pPr>
      <w:r w:rsidRPr="007C7B99">
        <w:rPr>
          <w:rFonts w:ascii="Georgia" w:hAnsi="Georgia"/>
          <w:i/>
          <w:iCs/>
          <w:sz w:val="22"/>
          <w:szCs w:val="22"/>
          <w:u w:val="single"/>
        </w:rPr>
        <w:t>Threats</w:t>
      </w:r>
      <w:r w:rsidR="00185D50" w:rsidRPr="007C7B99">
        <w:rPr>
          <w:rFonts w:ascii="Georgia" w:hAnsi="Georgia"/>
          <w:i/>
          <w:iCs/>
          <w:sz w:val="22"/>
          <w:szCs w:val="22"/>
          <w:u w:val="single"/>
        </w:rPr>
        <w:t xml:space="preserve"> Oil</w:t>
      </w:r>
    </w:p>
    <w:p w14:paraId="3BB5CB7E" w14:textId="77ACBA9F" w:rsidR="00A61C4F" w:rsidRDefault="00A61C4F" w:rsidP="007C7B99">
      <w:pPr>
        <w:spacing w:afterLines="170" w:after="408" w:line="340" w:lineRule="exact"/>
        <w:rPr>
          <w:rFonts w:ascii="Georgia" w:eastAsiaTheme="minorHAnsi" w:hAnsi="Georgia" w:cs="Georgia"/>
          <w:sz w:val="22"/>
          <w:szCs w:val="22"/>
          <w:lang w:val="en-GB"/>
        </w:rPr>
      </w:pPr>
      <w:r w:rsidRPr="007C7B99">
        <w:rPr>
          <w:rFonts w:ascii="Georgia" w:eastAsiaTheme="minorHAnsi" w:hAnsi="Georgia" w:cs="Georgia"/>
          <w:sz w:val="22"/>
          <w:szCs w:val="22"/>
          <w:lang w:val="en-GB"/>
        </w:rPr>
        <w:t xml:space="preserve">The related traffic </w:t>
      </w:r>
      <w:r w:rsidR="007520D8" w:rsidRPr="007C7B99">
        <w:rPr>
          <w:rFonts w:ascii="Georgia" w:eastAsiaTheme="minorHAnsi" w:hAnsi="Georgia" w:cs="Georgia"/>
          <w:sz w:val="22"/>
          <w:szCs w:val="22"/>
          <w:lang w:val="en-GB"/>
        </w:rPr>
        <w:t xml:space="preserve">for </w:t>
      </w:r>
      <w:r w:rsidRPr="007C7B99">
        <w:rPr>
          <w:rFonts w:ascii="Georgia" w:eastAsiaTheme="minorHAnsi" w:hAnsi="Georgia" w:cs="Georgia"/>
          <w:sz w:val="22"/>
          <w:szCs w:val="22"/>
          <w:lang w:val="en-GB"/>
        </w:rPr>
        <w:t xml:space="preserve">maintenance </w:t>
      </w:r>
      <w:r w:rsidR="00D248D7" w:rsidRPr="007C7B99">
        <w:rPr>
          <w:rFonts w:ascii="Georgia" w:eastAsiaTheme="minorHAnsi" w:hAnsi="Georgia" w:cs="Georgia"/>
          <w:sz w:val="22"/>
          <w:szCs w:val="22"/>
          <w:lang w:val="en-GB"/>
        </w:rPr>
        <w:t>and supplies to the p</w:t>
      </w:r>
      <w:r w:rsidR="007520D8" w:rsidRPr="007C7B99">
        <w:rPr>
          <w:rFonts w:ascii="Georgia" w:eastAsiaTheme="minorHAnsi" w:hAnsi="Georgia" w:cs="Georgia"/>
          <w:sz w:val="22"/>
          <w:szCs w:val="22"/>
          <w:lang w:val="en-GB"/>
        </w:rPr>
        <w:t>latform is reduced to the minimum required. There is a longtime monitoring in place concerning shelducks which use this part of the Wadden Sea as the primary moulting site. Up to now, no adverse effects have been found. With the pipeline, the former transport of the crude oil via double hulled tankers is no mor</w:t>
      </w:r>
      <w:r w:rsidR="00D248D7" w:rsidRPr="007C7B99">
        <w:rPr>
          <w:rFonts w:ascii="Georgia" w:eastAsiaTheme="minorHAnsi" w:hAnsi="Georgia" w:cs="Georgia"/>
          <w:sz w:val="22"/>
          <w:szCs w:val="22"/>
          <w:lang w:val="en-GB"/>
        </w:rPr>
        <w:t>e</w:t>
      </w:r>
      <w:r w:rsidR="007520D8" w:rsidRPr="007C7B99">
        <w:rPr>
          <w:rFonts w:ascii="Georgia" w:eastAsiaTheme="minorHAnsi" w:hAnsi="Georgia" w:cs="Georgia"/>
          <w:sz w:val="22"/>
          <w:szCs w:val="22"/>
          <w:lang w:val="en-GB"/>
        </w:rPr>
        <w:t xml:space="preserve"> necessary and thus the threat of an oil spill reduced drastically. Comprehensive safety regulations which are controlled regularly by the competent authority (LBEG) contribute to preventing environmental damage </w:t>
      </w:r>
      <w:r w:rsidR="00D248D7" w:rsidRPr="007C7B99">
        <w:rPr>
          <w:rFonts w:ascii="Georgia" w:eastAsiaTheme="minorHAnsi" w:hAnsi="Georgia" w:cs="Georgia"/>
          <w:sz w:val="22"/>
          <w:szCs w:val="22"/>
          <w:lang w:val="en-GB"/>
        </w:rPr>
        <w:t>to the birds or the mudflats an</w:t>
      </w:r>
      <w:r w:rsidR="007520D8" w:rsidRPr="007C7B99">
        <w:rPr>
          <w:rFonts w:ascii="Georgia" w:eastAsiaTheme="minorHAnsi" w:hAnsi="Georgia" w:cs="Georgia"/>
          <w:sz w:val="22"/>
          <w:szCs w:val="22"/>
          <w:lang w:val="en-GB"/>
        </w:rPr>
        <w:t>d tidal waters.</w:t>
      </w:r>
      <w:r w:rsidR="00D248D7" w:rsidRPr="007C7B99">
        <w:rPr>
          <w:rFonts w:ascii="Georgia" w:eastAsiaTheme="minorHAnsi" w:hAnsi="Georgia" w:cs="Georgia"/>
          <w:sz w:val="22"/>
          <w:szCs w:val="22"/>
          <w:lang w:val="en-GB"/>
        </w:rPr>
        <w:t xml:space="preserve"> Every incident whatsoever occurs has to be reported to the LBEG. There is a </w:t>
      </w:r>
      <w:r w:rsidR="00D248D7" w:rsidRPr="007C7B99">
        <w:rPr>
          <w:rFonts w:ascii="Georgia" w:eastAsiaTheme="minorHAnsi" w:hAnsi="Georgia" w:cs="Georgia"/>
          <w:i/>
          <w:sz w:val="22"/>
          <w:szCs w:val="22"/>
          <w:lang w:val="en-GB"/>
        </w:rPr>
        <w:t xml:space="preserve">Meldeplan acc. to offshore-directive </w:t>
      </w:r>
      <w:r w:rsidR="00D248D7" w:rsidRPr="007C7B99">
        <w:rPr>
          <w:rFonts w:ascii="Georgia" w:eastAsiaTheme="minorHAnsi" w:hAnsi="Georgia" w:cs="Georgia"/>
          <w:sz w:val="22"/>
          <w:szCs w:val="22"/>
          <w:lang w:val="en-GB"/>
        </w:rPr>
        <w:t>in place which includes also the LKN wit</w:t>
      </w:r>
      <w:r w:rsidR="00B207F7" w:rsidRPr="007C7B99">
        <w:rPr>
          <w:rFonts w:ascii="Georgia" w:eastAsiaTheme="minorHAnsi" w:hAnsi="Georgia" w:cs="Georgia"/>
          <w:sz w:val="22"/>
          <w:szCs w:val="22"/>
          <w:lang w:val="en-GB"/>
        </w:rPr>
        <w:t xml:space="preserve">h the units of </w:t>
      </w:r>
      <w:r w:rsidR="00B207F7" w:rsidRPr="006B3980">
        <w:rPr>
          <w:rFonts w:ascii="Georgia" w:eastAsiaTheme="minorHAnsi" w:hAnsi="Georgia" w:cs="Georgia"/>
          <w:sz w:val="22"/>
          <w:szCs w:val="22"/>
          <w:lang w:val="en-GB"/>
        </w:rPr>
        <w:t>Schadstoffunfall</w:t>
      </w:r>
      <w:r w:rsidR="00D248D7" w:rsidRPr="006B3980">
        <w:rPr>
          <w:rFonts w:ascii="Georgia" w:eastAsiaTheme="minorHAnsi" w:hAnsi="Georgia" w:cs="Georgia"/>
          <w:sz w:val="22"/>
          <w:szCs w:val="22"/>
          <w:lang w:val="en-GB"/>
        </w:rPr>
        <w:t>bekämpfung</w:t>
      </w:r>
      <w:r w:rsidR="006B3980">
        <w:rPr>
          <w:rFonts w:ascii="Georgia" w:eastAsiaTheme="minorHAnsi" w:hAnsi="Georgia" w:cs="Georgia"/>
          <w:sz w:val="22"/>
          <w:szCs w:val="22"/>
          <w:lang w:val="en-GB"/>
        </w:rPr>
        <w:t xml:space="preserve"> </w:t>
      </w:r>
      <w:r w:rsidR="006B3980" w:rsidRPr="006B3980">
        <w:rPr>
          <w:rFonts w:ascii="Georgia" w:eastAsiaTheme="minorHAnsi" w:hAnsi="Georgia" w:cs="Georgia"/>
          <w:color w:val="808080" w:themeColor="background1" w:themeShade="80"/>
          <w:sz w:val="22"/>
          <w:szCs w:val="22"/>
          <w:lang w:val="en-GB"/>
        </w:rPr>
        <w:t xml:space="preserve">[Note: </w:t>
      </w:r>
      <w:r w:rsidR="006B3980">
        <w:rPr>
          <w:rFonts w:ascii="Georgia" w:eastAsiaTheme="minorHAnsi" w:hAnsi="Georgia" w:cs="Georgia"/>
          <w:color w:val="808080" w:themeColor="background1" w:themeShade="80"/>
          <w:sz w:val="22"/>
          <w:szCs w:val="22"/>
          <w:lang w:val="en-GB"/>
        </w:rPr>
        <w:t>to c</w:t>
      </w:r>
      <w:r w:rsidR="006B3980" w:rsidRPr="006B3980">
        <w:rPr>
          <w:rFonts w:ascii="Georgia" w:eastAsiaTheme="minorHAnsi" w:hAnsi="Georgia" w:cs="Georgia"/>
          <w:color w:val="808080" w:themeColor="background1" w:themeShade="80"/>
          <w:sz w:val="22"/>
          <w:szCs w:val="22"/>
          <w:lang w:val="en-GB"/>
        </w:rPr>
        <w:t>heck English expression]</w:t>
      </w:r>
      <w:r w:rsidR="00D248D7" w:rsidRPr="006B3980">
        <w:rPr>
          <w:rFonts w:ascii="Georgia" w:eastAsiaTheme="minorHAnsi" w:hAnsi="Georgia" w:cs="Georgia"/>
          <w:color w:val="808080" w:themeColor="background1" w:themeShade="80"/>
          <w:sz w:val="22"/>
          <w:szCs w:val="22"/>
          <w:lang w:val="en-GB"/>
        </w:rPr>
        <w:t xml:space="preserve"> </w:t>
      </w:r>
      <w:r w:rsidR="00D248D7" w:rsidRPr="007C7B99">
        <w:rPr>
          <w:rFonts w:ascii="Georgia" w:eastAsiaTheme="minorHAnsi" w:hAnsi="Georgia" w:cs="Georgia"/>
          <w:sz w:val="22"/>
          <w:szCs w:val="22"/>
          <w:lang w:val="en-GB"/>
        </w:rPr>
        <w:t>and the National Park Authority amongst the relevant authorities.</w:t>
      </w:r>
    </w:p>
    <w:p w14:paraId="38806331" w14:textId="4E7E0FCC" w:rsidR="006B3980" w:rsidRPr="006B3980" w:rsidRDefault="006B3980" w:rsidP="007C7B99">
      <w:pPr>
        <w:spacing w:afterLines="170" w:after="408" w:line="340" w:lineRule="exact"/>
        <w:rPr>
          <w:rFonts w:ascii="Georgia" w:eastAsiaTheme="minorHAnsi" w:hAnsi="Georgia" w:cs="Georgia"/>
          <w:color w:val="808080" w:themeColor="background1" w:themeShade="80"/>
          <w:sz w:val="22"/>
          <w:szCs w:val="22"/>
          <w:lang w:val="en-GB"/>
        </w:rPr>
      </w:pPr>
      <w:r w:rsidRPr="006B3980">
        <w:rPr>
          <w:rFonts w:ascii="Georgia" w:eastAsiaTheme="minorHAnsi" w:hAnsi="Georgia" w:cs="Georgia"/>
          <w:color w:val="808080" w:themeColor="background1" w:themeShade="80"/>
          <w:sz w:val="22"/>
          <w:szCs w:val="22"/>
          <w:lang w:val="en-GB"/>
        </w:rPr>
        <w:t>[Note: to further describe impacts]</w:t>
      </w:r>
    </w:p>
    <w:p w14:paraId="58A7D421" w14:textId="27C0BBBD" w:rsidR="007C7B99" w:rsidRDefault="007C7B99" w:rsidP="007C7B99">
      <w:pPr>
        <w:spacing w:afterLines="170" w:after="408" w:line="340" w:lineRule="exact"/>
      </w:pPr>
      <w:r>
        <w:t>oil spills</w:t>
      </w:r>
    </w:p>
    <w:p w14:paraId="27EF0579" w14:textId="17B1B532" w:rsidR="007C7B99" w:rsidRPr="007C7B99" w:rsidRDefault="007C7B99" w:rsidP="007C7B99">
      <w:pPr>
        <w:spacing w:afterLines="170" w:after="408" w:line="340" w:lineRule="exact"/>
        <w:rPr>
          <w:rFonts w:ascii="Georgia" w:hAnsi="Georgia"/>
          <w:sz w:val="22"/>
          <w:szCs w:val="22"/>
        </w:rPr>
      </w:pPr>
      <w:r>
        <w:t>lowering soil</w:t>
      </w:r>
    </w:p>
    <w:p w14:paraId="2D2D967F" w14:textId="51CC9A90" w:rsidR="00A61C4F" w:rsidRPr="007C7B99" w:rsidRDefault="00D72CAB" w:rsidP="007C7B99">
      <w:pPr>
        <w:spacing w:afterLines="170" w:after="408" w:line="340" w:lineRule="exact"/>
        <w:rPr>
          <w:rFonts w:ascii="Georgia" w:hAnsi="Georgia"/>
          <w:sz w:val="22"/>
          <w:szCs w:val="22"/>
        </w:rPr>
      </w:pPr>
      <w:r w:rsidRPr="007C7B99">
        <w:rPr>
          <w:rFonts w:ascii="Georgia" w:hAnsi="Georgia"/>
          <w:sz w:val="22"/>
          <w:szCs w:val="22"/>
        </w:rPr>
        <w:t>Nature protection in the Wadden Sea is the priority and gas exploration can only take place if the OUV’s are not negatively impacted.</w:t>
      </w:r>
    </w:p>
    <w:p w14:paraId="2249EC84" w14:textId="77777777" w:rsidR="00D72CAB" w:rsidRPr="007C7B99" w:rsidRDefault="00D72CAB" w:rsidP="007C7B99">
      <w:pPr>
        <w:pStyle w:val="Textkrper-Zeileneinzug"/>
        <w:spacing w:afterLines="170" w:after="408" w:line="340" w:lineRule="exact"/>
        <w:ind w:left="0" w:firstLine="0"/>
        <w:contextualSpacing/>
        <w:rPr>
          <w:rFonts w:ascii="Georgia" w:hAnsi="Georgia" w:cs="Times New Roman"/>
          <w:sz w:val="22"/>
          <w:szCs w:val="22"/>
        </w:rPr>
      </w:pPr>
      <w:r w:rsidRPr="007C7B99">
        <w:rPr>
          <w:rFonts w:ascii="Georgia" w:hAnsi="Georgia" w:cs="Times New Roman"/>
          <w:sz w:val="22"/>
          <w:szCs w:val="22"/>
        </w:rPr>
        <w:t xml:space="preserve">Gas exploration can be a threat to the Wadden Sea when it negatively impacts the nature.  </w:t>
      </w:r>
    </w:p>
    <w:p w14:paraId="13A2811B" w14:textId="218622F1" w:rsidR="00D43D52" w:rsidRPr="007C7B99" w:rsidRDefault="00D43D52" w:rsidP="007C7B99">
      <w:pPr>
        <w:spacing w:afterLines="170" w:after="408" w:line="340" w:lineRule="exact"/>
        <w:rPr>
          <w:rFonts w:ascii="Georgia" w:hAnsi="Georgia"/>
          <w:sz w:val="22"/>
          <w:szCs w:val="22"/>
        </w:rPr>
      </w:pPr>
      <w:r w:rsidRPr="007C7B99">
        <w:rPr>
          <w:rFonts w:ascii="Georgia" w:hAnsi="Georgia"/>
          <w:sz w:val="22"/>
          <w:szCs w:val="22"/>
        </w:rPr>
        <w:t>Climate change causes sea level rise which strengthen the impact of subsidence caused by gas extraction. This is closely monitored.</w:t>
      </w:r>
    </w:p>
    <w:p w14:paraId="03864E88" w14:textId="7F920918" w:rsidR="00B466A5" w:rsidRDefault="00716411" w:rsidP="007C7B99">
      <w:pPr>
        <w:pStyle w:val="2sub-sections"/>
        <w:numPr>
          <w:ilvl w:val="0"/>
          <w:numId w:val="32"/>
        </w:numPr>
        <w:rPr>
          <w:b w:val="0"/>
          <w:lang w:val="en-GB"/>
        </w:rPr>
      </w:pPr>
      <w:r w:rsidRPr="007C7B99">
        <w:t>References</w:t>
      </w:r>
    </w:p>
    <w:p w14:paraId="527F7AC4" w14:textId="77777777" w:rsidR="00B466A5" w:rsidRDefault="00B466A5" w:rsidP="00B466A5">
      <w:pPr>
        <w:spacing w:line="276" w:lineRule="auto"/>
        <w:rPr>
          <w:rFonts w:ascii="Georgia" w:hAnsi="Georgia"/>
          <w:sz w:val="20"/>
          <w:szCs w:val="22"/>
          <w:lang w:val="en-GB"/>
        </w:rPr>
      </w:pPr>
      <w:r w:rsidRPr="000B7E8C">
        <w:rPr>
          <w:rFonts w:ascii="Georgia" w:hAnsi="Georgia"/>
          <w:sz w:val="20"/>
          <w:szCs w:val="22"/>
          <w:lang w:val="en-GB"/>
        </w:rPr>
        <w:t>Nomination dossier</w:t>
      </w:r>
      <w:r>
        <w:rPr>
          <w:rFonts w:ascii="Georgia" w:hAnsi="Georgia"/>
          <w:sz w:val="20"/>
          <w:szCs w:val="22"/>
          <w:lang w:val="en-GB"/>
        </w:rPr>
        <w:t xml:space="preserve"> (2008, 2014)</w:t>
      </w:r>
    </w:p>
    <w:p w14:paraId="7F95965A" w14:textId="77777777" w:rsidR="00B466A5" w:rsidRDefault="00B466A5" w:rsidP="00B466A5">
      <w:pPr>
        <w:spacing w:line="276" w:lineRule="auto"/>
        <w:rPr>
          <w:rFonts w:ascii="Georgia" w:hAnsi="Georgia"/>
          <w:sz w:val="20"/>
          <w:szCs w:val="22"/>
          <w:lang w:val="en-GB"/>
        </w:rPr>
      </w:pPr>
      <w:r>
        <w:rPr>
          <w:rFonts w:ascii="Georgia" w:hAnsi="Georgia"/>
          <w:sz w:val="20"/>
          <w:szCs w:val="22"/>
          <w:lang w:val="en-GB"/>
        </w:rPr>
        <w:t>QSR (2017)</w:t>
      </w:r>
    </w:p>
    <w:p w14:paraId="28B60324" w14:textId="77777777" w:rsidR="00B466A5" w:rsidRDefault="00B466A5" w:rsidP="00B466A5">
      <w:pPr>
        <w:spacing w:line="276" w:lineRule="auto"/>
        <w:rPr>
          <w:rFonts w:ascii="Georgia" w:hAnsi="Georgia"/>
          <w:sz w:val="20"/>
          <w:szCs w:val="22"/>
          <w:lang w:val="en-GB"/>
        </w:rPr>
      </w:pPr>
      <w:r>
        <w:rPr>
          <w:rFonts w:ascii="Georgia" w:hAnsi="Georgia"/>
          <w:sz w:val="20"/>
          <w:szCs w:val="22"/>
          <w:lang w:val="en-GB"/>
        </w:rPr>
        <w:t>WSP 2010</w:t>
      </w:r>
    </w:p>
    <w:sectPr w:rsidR="00B466A5" w:rsidSect="009148DD">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9B6006" w14:textId="77777777" w:rsidR="00E50051" w:rsidRDefault="00E50051" w:rsidP="00B965C7">
      <w:r>
        <w:separator/>
      </w:r>
    </w:p>
  </w:endnote>
  <w:endnote w:type="continuationSeparator" w:id="0">
    <w:p w14:paraId="3FA7E853" w14:textId="77777777" w:rsidR="00E50051" w:rsidRDefault="00E50051" w:rsidP="00B965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HouschkaAltPro-Medium">
    <w:panose1 w:val="00000000000000000000"/>
    <w:charset w:val="00"/>
    <w:family w:val="swiss"/>
    <w:notTrueType/>
    <w:pitch w:val="default"/>
    <w:sig w:usb0="00000003" w:usb1="00000000" w:usb2="00000000" w:usb3="00000000" w:csb0="00000001" w:csb1="00000000"/>
  </w:font>
  <w:font w:name="RotisSansSerif">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DBBD4D" w14:textId="63FDEA13" w:rsidR="00E50051" w:rsidRPr="003C34F6" w:rsidRDefault="00E50051" w:rsidP="009148DD">
    <w:pPr>
      <w:pStyle w:val="Fuzeile"/>
      <w:jc w:val="right"/>
      <w:rPr>
        <w:rFonts w:ascii="Georgia" w:hAnsi="Georgia"/>
        <w:color w:val="808080" w:themeColor="background1" w:themeShade="80"/>
        <w:sz w:val="18"/>
        <w:szCs w:val="18"/>
      </w:rPr>
    </w:pPr>
    <w:r w:rsidRPr="003C34F6">
      <w:rPr>
        <w:rFonts w:ascii="Georgia" w:hAnsi="Georgia"/>
        <w:color w:val="808080" w:themeColor="background1" w:themeShade="80"/>
        <w:sz w:val="18"/>
        <w:szCs w:val="18"/>
      </w:rPr>
      <w:fldChar w:fldCharType="begin"/>
    </w:r>
    <w:r w:rsidRPr="003C34F6">
      <w:rPr>
        <w:rFonts w:ascii="Georgia" w:hAnsi="Georgia"/>
        <w:color w:val="808080" w:themeColor="background1" w:themeShade="80"/>
        <w:sz w:val="18"/>
        <w:szCs w:val="18"/>
      </w:rPr>
      <w:instrText>PAGE   \* MERGEFORMAT</w:instrText>
    </w:r>
    <w:r w:rsidRPr="003C34F6">
      <w:rPr>
        <w:rFonts w:ascii="Georgia" w:hAnsi="Georgia"/>
        <w:color w:val="808080" w:themeColor="background1" w:themeShade="80"/>
        <w:sz w:val="18"/>
        <w:szCs w:val="18"/>
      </w:rPr>
      <w:fldChar w:fldCharType="separate"/>
    </w:r>
    <w:r>
      <w:rPr>
        <w:rFonts w:ascii="Georgia" w:hAnsi="Georgia"/>
        <w:noProof/>
        <w:color w:val="808080" w:themeColor="background1" w:themeShade="80"/>
        <w:sz w:val="18"/>
        <w:szCs w:val="18"/>
      </w:rPr>
      <w:t>18</w:t>
    </w:r>
    <w:r w:rsidRPr="003C34F6">
      <w:rPr>
        <w:rFonts w:ascii="Georgia" w:hAnsi="Georgia"/>
        <w:color w:val="808080" w:themeColor="background1" w:themeShade="80"/>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620E4E" w14:textId="77777777" w:rsidR="00E50051" w:rsidRDefault="00E50051" w:rsidP="002570E2">
    <w:pPr>
      <w:tabs>
        <w:tab w:val="left" w:pos="7770"/>
      </w:tabs>
      <w:rPr>
        <w:rFonts w:ascii="Arial" w:hAnsi="Arial" w:cs="Arial"/>
        <w:color w:val="003047"/>
        <w:sz w:val="20"/>
        <w:szCs w:val="20"/>
      </w:rPr>
    </w:pPr>
    <w:r>
      <w:rPr>
        <w:noProof/>
        <w:lang w:val="de-DE" w:eastAsia="de-DE"/>
      </w:rPr>
      <w:drawing>
        <wp:anchor distT="0" distB="0" distL="114300" distR="114300" simplePos="0" relativeHeight="251659264" behindDoc="1" locked="0" layoutInCell="1" allowOverlap="1" wp14:anchorId="325EB411" wp14:editId="762EB2A2">
          <wp:simplePos x="0" y="0"/>
          <wp:positionH relativeFrom="page">
            <wp:posOffset>0</wp:posOffset>
          </wp:positionH>
          <wp:positionV relativeFrom="page">
            <wp:posOffset>9105738</wp:posOffset>
          </wp:positionV>
          <wp:extent cx="7561580" cy="636905"/>
          <wp:effectExtent l="0" t="0" r="127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1580" cy="636905"/>
                  </a:xfrm>
                  <a:prstGeom prst="rect">
                    <a:avLst/>
                  </a:prstGeom>
                  <a:noFill/>
                </pic:spPr>
              </pic:pic>
            </a:graphicData>
          </a:graphic>
          <wp14:sizeRelH relativeFrom="page">
            <wp14:pctWidth>0</wp14:pctWidth>
          </wp14:sizeRelH>
          <wp14:sizeRelV relativeFrom="page">
            <wp14:pctHeight>0</wp14:pctHeight>
          </wp14:sizeRelV>
        </wp:anchor>
      </w:drawing>
    </w:r>
    <w:r>
      <w:rPr>
        <w:noProof/>
        <w:lang w:val="de-DE" w:eastAsia="de-DE"/>
      </w:rPr>
      <w:drawing>
        <wp:anchor distT="0" distB="0" distL="114300" distR="114300" simplePos="0" relativeHeight="251660288" behindDoc="1" locked="0" layoutInCell="1" allowOverlap="1" wp14:anchorId="7887F579" wp14:editId="12E11048">
          <wp:simplePos x="0" y="0"/>
          <wp:positionH relativeFrom="page">
            <wp:posOffset>712632</wp:posOffset>
          </wp:positionH>
          <wp:positionV relativeFrom="page">
            <wp:posOffset>9741535</wp:posOffset>
          </wp:positionV>
          <wp:extent cx="2512695" cy="575945"/>
          <wp:effectExtent l="0" t="0" r="1905"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12695" cy="57594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color w:val="003047"/>
        <w:sz w:val="20"/>
        <w:szCs w:val="20"/>
      </w:rPr>
      <w:tab/>
    </w:r>
  </w:p>
  <w:p w14:paraId="05CB7B50" w14:textId="77777777" w:rsidR="00E50051" w:rsidRDefault="00E50051" w:rsidP="002570E2">
    <w:pPr>
      <w:tabs>
        <w:tab w:val="left" w:pos="7770"/>
      </w:tabs>
      <w:rPr>
        <w:rFonts w:ascii="Arial" w:hAnsi="Arial" w:cs="Arial"/>
        <w:color w:val="003047"/>
        <w:sz w:val="20"/>
        <w:szCs w:val="20"/>
      </w:rPr>
    </w:pPr>
  </w:p>
  <w:p w14:paraId="6A466FA5" w14:textId="77777777" w:rsidR="00E50051" w:rsidRDefault="00E50051" w:rsidP="002570E2">
    <w:pPr>
      <w:tabs>
        <w:tab w:val="left" w:pos="7770"/>
      </w:tabs>
      <w:rPr>
        <w:rFonts w:ascii="Arial" w:hAnsi="Arial" w:cs="Arial"/>
        <w:color w:val="003047"/>
        <w:sz w:val="20"/>
        <w:szCs w:val="20"/>
      </w:rPr>
    </w:pPr>
  </w:p>
  <w:p w14:paraId="2B360700" w14:textId="77777777" w:rsidR="00E50051" w:rsidRDefault="00E50051" w:rsidP="002570E2">
    <w:pPr>
      <w:tabs>
        <w:tab w:val="left" w:pos="7770"/>
      </w:tabs>
      <w:rPr>
        <w:rFonts w:ascii="Arial" w:hAnsi="Arial" w:cs="Arial"/>
        <w:color w:val="003047"/>
        <w:sz w:val="20"/>
        <w:szCs w:val="20"/>
      </w:rPr>
    </w:pPr>
  </w:p>
  <w:p w14:paraId="52B760B8" w14:textId="77777777" w:rsidR="00E50051" w:rsidRDefault="00E50051" w:rsidP="002570E2">
    <w:pPr>
      <w:tabs>
        <w:tab w:val="left" w:pos="7770"/>
      </w:tabs>
      <w:rPr>
        <w:rFonts w:ascii="Arial" w:hAnsi="Arial" w:cs="Arial"/>
        <w:color w:val="003047"/>
        <w:sz w:val="20"/>
        <w:szCs w:val="20"/>
      </w:rPr>
    </w:pPr>
  </w:p>
  <w:p w14:paraId="600644E3" w14:textId="77777777" w:rsidR="00E50051" w:rsidRDefault="00E50051" w:rsidP="002570E2">
    <w:pPr>
      <w:tabs>
        <w:tab w:val="left" w:pos="7770"/>
      </w:tabs>
      <w:rPr>
        <w:rFonts w:ascii="Arial" w:hAnsi="Arial" w:cs="Arial"/>
        <w:color w:val="003047"/>
        <w:sz w:val="20"/>
        <w:szCs w:val="20"/>
      </w:rPr>
    </w:pPr>
  </w:p>
  <w:p w14:paraId="6B8DB4B2" w14:textId="77777777" w:rsidR="00E50051" w:rsidRPr="006607D8" w:rsidRDefault="00E50051" w:rsidP="002570E2">
    <w:pPr>
      <w:tabs>
        <w:tab w:val="left" w:pos="7770"/>
      </w:tabs>
      <w:rPr>
        <w:rFonts w:ascii="Arial" w:hAnsi="Arial" w:cs="Arial"/>
        <w:color w:val="003047"/>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15877C" w14:textId="77777777" w:rsidR="00E50051" w:rsidRDefault="00E50051" w:rsidP="00B965C7">
      <w:r>
        <w:separator/>
      </w:r>
    </w:p>
  </w:footnote>
  <w:footnote w:type="continuationSeparator" w:id="0">
    <w:p w14:paraId="68E12FB8" w14:textId="77777777" w:rsidR="00E50051" w:rsidRDefault="00E50051" w:rsidP="00B965C7">
      <w:r>
        <w:continuationSeparator/>
      </w:r>
    </w:p>
  </w:footnote>
  <w:footnote w:id="1">
    <w:p w14:paraId="522D029A" w14:textId="146901B8" w:rsidR="00E50051" w:rsidRPr="00C813CE" w:rsidRDefault="00E50051">
      <w:pPr>
        <w:pStyle w:val="Funotentext"/>
        <w:rPr>
          <w:lang w:val="de-DE"/>
        </w:rPr>
      </w:pPr>
      <w:r>
        <w:rPr>
          <w:rStyle w:val="Funotenzeichen"/>
        </w:rPr>
        <w:footnoteRef/>
      </w:r>
      <w:r>
        <w:t xml:space="preserve"> </w:t>
      </w:r>
      <w:r w:rsidRPr="00176038">
        <w:t>https://www.ospar.org/work-areas/eiha/offshore-renewables</w:t>
      </w:r>
    </w:p>
  </w:footnote>
  <w:footnote w:id="2">
    <w:p w14:paraId="2782373A" w14:textId="0788DB83" w:rsidR="00E50051" w:rsidRPr="004B5646" w:rsidRDefault="00E50051">
      <w:pPr>
        <w:pStyle w:val="Funotentext"/>
        <w:rPr>
          <w:lang w:val="fr-FR"/>
        </w:rPr>
      </w:pPr>
      <w:r>
        <w:rPr>
          <w:rStyle w:val="Funotenzeichen"/>
        </w:rPr>
        <w:footnoteRef/>
      </w:r>
      <w:r w:rsidRPr="004B5646">
        <w:rPr>
          <w:lang w:val="fr-FR"/>
        </w:rPr>
        <w:t xml:space="preserve"> Source: http://www.blmp-online.de/PDF/MSRL/MSFD_Guide.pdf</w:t>
      </w:r>
    </w:p>
  </w:footnote>
  <w:footnote w:id="3">
    <w:p w14:paraId="10827A98" w14:textId="3CB4A592" w:rsidR="00E50051" w:rsidRPr="00C813CE" w:rsidRDefault="00E50051">
      <w:pPr>
        <w:pStyle w:val="Funotentext"/>
        <w:rPr>
          <w:lang w:val="de-DE"/>
        </w:rPr>
      </w:pPr>
      <w:r>
        <w:rPr>
          <w:rStyle w:val="Funotenzeichen"/>
        </w:rPr>
        <w:footnoteRef/>
      </w:r>
      <w:r w:rsidRPr="00716411">
        <w:rPr>
          <w:lang w:val="de-DE"/>
        </w:rPr>
        <w:t xml:space="preserve"> </w:t>
      </w:r>
      <w:r>
        <w:rPr>
          <w:lang w:val="de-DE"/>
        </w:rPr>
        <w:t>MELUND (2020) : Erneuerbare Energien in Zahlen für Schleswig-Holstein</w:t>
      </w:r>
    </w:p>
  </w:footnote>
  <w:footnote w:id="4">
    <w:p w14:paraId="7DDBF0D1" w14:textId="1CD7A6B3" w:rsidR="00E50051" w:rsidRPr="00312BFB" w:rsidRDefault="00E50051">
      <w:pPr>
        <w:pStyle w:val="Funotentext"/>
        <w:rPr>
          <w:lang w:val="de-DE"/>
        </w:rPr>
      </w:pPr>
      <w:r>
        <w:rPr>
          <w:rStyle w:val="Funotenzeichen"/>
        </w:rPr>
        <w:footnoteRef/>
      </w:r>
      <w:r w:rsidRPr="00312BFB">
        <w:rPr>
          <w:lang w:val="de-DE"/>
        </w:rPr>
        <w:t xml:space="preserve"> https://www.bsh.de/EN/TOPICS/Offshore/Maritime_spatial_planning/maritime_spatial_planning_node.html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F33CF0" w14:textId="243FB695" w:rsidR="00E50051" w:rsidRPr="009568A8" w:rsidRDefault="006D2E0F" w:rsidP="009568A8">
    <w:pPr>
      <w:pStyle w:val="Kopfzeile"/>
      <w:jc w:val="right"/>
      <w:rPr>
        <w:i/>
        <w:iCs/>
      </w:rPr>
    </w:pPr>
    <w:r w:rsidRPr="009568A8">
      <w:rPr>
        <w:rFonts w:ascii="Georgia" w:hAnsi="Georgia"/>
        <w:i/>
        <w:iCs/>
        <w:color w:val="808080" w:themeColor="background1" w:themeShade="80"/>
        <w:sz w:val="18"/>
        <w:szCs w:val="18"/>
      </w:rPr>
      <w:t>Draft</w:t>
    </w:r>
    <w:r w:rsidRPr="009568A8">
      <w:rPr>
        <w:rFonts w:ascii="Georgia" w:hAnsi="Georgia"/>
        <w:i/>
        <w:iCs/>
        <w:color w:val="808080" w:themeColor="background1" w:themeShade="80"/>
        <w:sz w:val="18"/>
        <w:szCs w:val="18"/>
      </w:rPr>
      <w:t xml:space="preserve"> </w:t>
    </w:r>
    <w:r>
      <w:rPr>
        <w:rFonts w:ascii="Georgia" w:hAnsi="Georgia"/>
        <w:i/>
        <w:iCs/>
        <w:color w:val="808080" w:themeColor="background1" w:themeShade="80"/>
        <w:sz w:val="18"/>
        <w:szCs w:val="18"/>
      </w:rPr>
      <w:t xml:space="preserve">document: </w:t>
    </w:r>
    <w:r w:rsidR="00E50051" w:rsidRPr="009568A8">
      <w:rPr>
        <w:rFonts w:ascii="Georgia" w:hAnsi="Georgia"/>
        <w:i/>
        <w:iCs/>
        <w:color w:val="808080" w:themeColor="background1" w:themeShade="80"/>
        <w:sz w:val="18"/>
        <w:szCs w:val="18"/>
      </w:rPr>
      <w:t>Energy</w:t>
    </w:r>
    <w:r>
      <w:rPr>
        <w:rFonts w:ascii="Georgia" w:hAnsi="Georgia"/>
        <w:i/>
        <w:iCs/>
        <w:color w:val="808080" w:themeColor="background1" w:themeShade="80"/>
        <w:sz w:val="18"/>
        <w:szCs w:val="18"/>
      </w:rPr>
      <w:tab/>
    </w:r>
    <w:r w:rsidR="00C94541">
      <w:rPr>
        <w:rFonts w:ascii="Georgia" w:hAnsi="Georgia"/>
        <w:i/>
        <w:iCs/>
        <w:color w:val="808080" w:themeColor="background1" w:themeShade="80"/>
        <w:sz w:val="18"/>
        <w:szCs w:val="18"/>
      </w:rPr>
      <w:t>31</w:t>
    </w:r>
    <w:r>
      <w:rPr>
        <w:rFonts w:ascii="Georgia" w:hAnsi="Georgia"/>
        <w:i/>
        <w:iCs/>
        <w:color w:val="808080" w:themeColor="background1" w:themeShade="80"/>
        <w:sz w:val="18"/>
        <w:szCs w:val="18"/>
      </w:rPr>
      <w:t xml:space="preserve"> </w:t>
    </w:r>
    <w:r w:rsidR="00E50051">
      <w:rPr>
        <w:rFonts w:ascii="Georgia" w:hAnsi="Georgia"/>
        <w:i/>
        <w:iCs/>
        <w:color w:val="808080" w:themeColor="background1" w:themeShade="80"/>
        <w:sz w:val="18"/>
        <w:szCs w:val="18"/>
      </w:rPr>
      <w:t>Ju</w:t>
    </w:r>
    <w:r>
      <w:rPr>
        <w:rFonts w:ascii="Georgia" w:hAnsi="Georgia"/>
        <w:i/>
        <w:iCs/>
        <w:color w:val="808080" w:themeColor="background1" w:themeShade="80"/>
        <w:sz w:val="18"/>
        <w:szCs w:val="18"/>
      </w:rPr>
      <w:t>l</w:t>
    </w:r>
    <w:r w:rsidR="00E50051">
      <w:rPr>
        <w:rFonts w:ascii="Georgia" w:hAnsi="Georgia"/>
        <w:i/>
        <w:iCs/>
        <w:color w:val="808080" w:themeColor="background1" w:themeShade="80"/>
        <w:sz w:val="18"/>
        <w:szCs w:val="18"/>
      </w:rPr>
      <w:t>y</w:t>
    </w:r>
    <w:r>
      <w:rPr>
        <w:rFonts w:ascii="Georgia" w:hAnsi="Georgia"/>
        <w:i/>
        <w:iCs/>
        <w:color w:val="808080" w:themeColor="background1" w:themeShade="80"/>
        <w:sz w:val="18"/>
        <w:szCs w:val="18"/>
      </w:rPr>
      <w:t xml:space="preserve"> </w:t>
    </w:r>
    <w:r w:rsidR="00E50051" w:rsidRPr="009568A8">
      <w:rPr>
        <w:rFonts w:ascii="Georgia" w:hAnsi="Georgia"/>
        <w:i/>
        <w:iCs/>
        <w:color w:val="808080" w:themeColor="background1" w:themeShade="80"/>
        <w:sz w:val="18"/>
        <w:szCs w:val="18"/>
      </w:rPr>
      <w:t>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12A01"/>
    <w:multiLevelType w:val="hybridMultilevel"/>
    <w:tmpl w:val="5174499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1B3565C"/>
    <w:multiLevelType w:val="hybridMultilevel"/>
    <w:tmpl w:val="FA7AC6FE"/>
    <w:lvl w:ilvl="0" w:tplc="16C632FA">
      <w:start w:val="4"/>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1FF3B37"/>
    <w:multiLevelType w:val="hybridMultilevel"/>
    <w:tmpl w:val="586244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6BE4D1C"/>
    <w:multiLevelType w:val="multilevel"/>
    <w:tmpl w:val="03DC5A2E"/>
    <w:lvl w:ilvl="0">
      <w:start w:val="1"/>
      <w:numFmt w:val="decimal"/>
      <w:lvlText w:val="%1."/>
      <w:lvlJc w:val="left"/>
      <w:pPr>
        <w:ind w:left="720" w:hanging="360"/>
      </w:pPr>
      <w:rPr>
        <w:rFonts w:hint="default"/>
      </w:rPr>
    </w:lvl>
    <w:lvl w:ilvl="1">
      <w:start w:val="1"/>
      <w:numFmt w:val="decimal"/>
      <w:isLgl/>
      <w:lvlText w:val="%1.%2"/>
      <w:lvlJc w:val="left"/>
      <w:pPr>
        <w:ind w:left="825" w:hanging="465"/>
      </w:pPr>
      <w:rPr>
        <w:rFonts w:hint="default"/>
      </w:rPr>
    </w:lvl>
    <w:lvl w:ilvl="2">
      <w:start w:val="2"/>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43F5F2A"/>
    <w:multiLevelType w:val="hybridMultilevel"/>
    <w:tmpl w:val="586244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99475D6"/>
    <w:multiLevelType w:val="hybridMultilevel"/>
    <w:tmpl w:val="D03E77A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A7D567C"/>
    <w:multiLevelType w:val="hybridMultilevel"/>
    <w:tmpl w:val="23AE44B6"/>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7" w15:restartNumberingAfterBreak="0">
    <w:nsid w:val="1B861DA7"/>
    <w:multiLevelType w:val="hybridMultilevel"/>
    <w:tmpl w:val="7868881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24B5AB8"/>
    <w:multiLevelType w:val="hybridMultilevel"/>
    <w:tmpl w:val="2996BC9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3B93972"/>
    <w:multiLevelType w:val="hybridMultilevel"/>
    <w:tmpl w:val="011E40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A263232"/>
    <w:multiLevelType w:val="hybridMultilevel"/>
    <w:tmpl w:val="C40CAB38"/>
    <w:lvl w:ilvl="0" w:tplc="04070001">
      <w:start w:val="1"/>
      <w:numFmt w:val="bullet"/>
      <w:lvlText w:val=""/>
      <w:lvlJc w:val="left"/>
      <w:pPr>
        <w:ind w:left="360" w:hanging="360"/>
      </w:pPr>
      <w:rPr>
        <w:rFonts w:ascii="Symbol" w:hAnsi="Symbol"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CD64ADC"/>
    <w:multiLevelType w:val="hybridMultilevel"/>
    <w:tmpl w:val="B04E162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DB77117"/>
    <w:multiLevelType w:val="hybridMultilevel"/>
    <w:tmpl w:val="586244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06F4211"/>
    <w:multiLevelType w:val="hybridMultilevel"/>
    <w:tmpl w:val="A4CCB69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2825342"/>
    <w:multiLevelType w:val="hybridMultilevel"/>
    <w:tmpl w:val="9350057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781762B"/>
    <w:multiLevelType w:val="hybridMultilevel"/>
    <w:tmpl w:val="C3483DE6"/>
    <w:lvl w:ilvl="0" w:tplc="20000001">
      <w:start w:val="1"/>
      <w:numFmt w:val="bullet"/>
      <w:lvlText w:val=""/>
      <w:lvlJc w:val="left"/>
      <w:pPr>
        <w:ind w:left="720" w:hanging="360"/>
      </w:pPr>
      <w:rPr>
        <w:rFonts w:ascii="Symbol" w:eastAsia="Times New Roman" w:hAnsi="Symbol"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6" w15:restartNumberingAfterBreak="0">
    <w:nsid w:val="4C5B02D8"/>
    <w:multiLevelType w:val="hybridMultilevel"/>
    <w:tmpl w:val="7ED2AF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D1F627A"/>
    <w:multiLevelType w:val="hybridMultilevel"/>
    <w:tmpl w:val="6B6ED48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2F00FE4"/>
    <w:multiLevelType w:val="hybridMultilevel"/>
    <w:tmpl w:val="BA62BC34"/>
    <w:lvl w:ilvl="0" w:tplc="6B60C354">
      <w:numFmt w:val="bullet"/>
      <w:lvlText w:val="•"/>
      <w:lvlJc w:val="left"/>
      <w:pPr>
        <w:ind w:left="1080" w:hanging="360"/>
      </w:pPr>
      <w:rPr>
        <w:rFonts w:ascii="Georgia" w:eastAsia="Times New Roman" w:hAnsi="Georgia"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9" w15:restartNumberingAfterBreak="0">
    <w:nsid w:val="577B55BC"/>
    <w:multiLevelType w:val="hybridMultilevel"/>
    <w:tmpl w:val="8A66FBA2"/>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0" w15:restartNumberingAfterBreak="0">
    <w:nsid w:val="580E58C0"/>
    <w:multiLevelType w:val="hybridMultilevel"/>
    <w:tmpl w:val="05722AE2"/>
    <w:lvl w:ilvl="0" w:tplc="6B60C354">
      <w:numFmt w:val="bullet"/>
      <w:lvlText w:val="•"/>
      <w:lvlJc w:val="left"/>
      <w:pPr>
        <w:ind w:left="720" w:hanging="360"/>
      </w:pPr>
      <w:rPr>
        <w:rFonts w:ascii="Georgia" w:eastAsia="Times New Roman" w:hAnsi="Georg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A16353F"/>
    <w:multiLevelType w:val="hybridMultilevel"/>
    <w:tmpl w:val="586244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5BC85C85"/>
    <w:multiLevelType w:val="hybridMultilevel"/>
    <w:tmpl w:val="4D36A72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5F4C3A44"/>
    <w:multiLevelType w:val="hybridMultilevel"/>
    <w:tmpl w:val="00004D0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63FC74D3"/>
    <w:multiLevelType w:val="hybridMultilevel"/>
    <w:tmpl w:val="3CDAF7A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67894A4A"/>
    <w:multiLevelType w:val="hybridMultilevel"/>
    <w:tmpl w:val="829647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F9574F8"/>
    <w:multiLevelType w:val="hybridMultilevel"/>
    <w:tmpl w:val="19C4C63C"/>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7" w15:restartNumberingAfterBreak="0">
    <w:nsid w:val="727C5B4A"/>
    <w:multiLevelType w:val="multilevel"/>
    <w:tmpl w:val="336E6558"/>
    <w:lvl w:ilvl="0">
      <w:start w:val="1"/>
      <w:numFmt w:val="decimal"/>
      <w:lvlText w:val="%1."/>
      <w:lvlJc w:val="left"/>
      <w:pPr>
        <w:ind w:left="720" w:hanging="360"/>
      </w:pPr>
      <w:rPr>
        <w:rFonts w:hint="default"/>
      </w:rPr>
    </w:lvl>
    <w:lvl w:ilvl="1">
      <w:start w:val="1"/>
      <w:numFmt w:val="decimal"/>
      <w:isLgl/>
      <w:lvlText w:val="%1.%2"/>
      <w:lvlJc w:val="left"/>
      <w:pPr>
        <w:ind w:left="825" w:hanging="465"/>
      </w:pPr>
      <w:rPr>
        <w:rFonts w:hint="default"/>
      </w:rPr>
    </w:lvl>
    <w:lvl w:ilvl="2">
      <w:start w:val="2"/>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75BA316E"/>
    <w:multiLevelType w:val="multilevel"/>
    <w:tmpl w:val="336E6558"/>
    <w:lvl w:ilvl="0">
      <w:start w:val="1"/>
      <w:numFmt w:val="decimal"/>
      <w:lvlText w:val="%1."/>
      <w:lvlJc w:val="left"/>
      <w:pPr>
        <w:ind w:left="720" w:hanging="360"/>
      </w:pPr>
      <w:rPr>
        <w:rFonts w:hint="default"/>
      </w:rPr>
    </w:lvl>
    <w:lvl w:ilvl="1">
      <w:start w:val="1"/>
      <w:numFmt w:val="decimal"/>
      <w:isLgl/>
      <w:lvlText w:val="%1.%2"/>
      <w:lvlJc w:val="left"/>
      <w:pPr>
        <w:ind w:left="825" w:hanging="46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7D9B7598"/>
    <w:multiLevelType w:val="hybridMultilevel"/>
    <w:tmpl w:val="28A49B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7E025DF7"/>
    <w:multiLevelType w:val="hybridMultilevel"/>
    <w:tmpl w:val="00004D0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E5E3FE0"/>
    <w:multiLevelType w:val="hybridMultilevel"/>
    <w:tmpl w:val="D85A7F4E"/>
    <w:lvl w:ilvl="0" w:tplc="4D3EBCC8">
      <w:numFmt w:val="bullet"/>
      <w:lvlText w:val="-"/>
      <w:lvlJc w:val="left"/>
      <w:pPr>
        <w:ind w:left="720" w:hanging="360"/>
      </w:pPr>
      <w:rPr>
        <w:rFonts w:ascii="Verdana" w:eastAsia="Calibri" w:hAnsi="Verdana"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32" w15:restartNumberingAfterBreak="0">
    <w:nsid w:val="7F4B2A95"/>
    <w:multiLevelType w:val="hybridMultilevel"/>
    <w:tmpl w:val="A89C07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5"/>
  </w:num>
  <w:num w:numId="2">
    <w:abstractNumId w:val="10"/>
  </w:num>
  <w:num w:numId="3">
    <w:abstractNumId w:val="12"/>
  </w:num>
  <w:num w:numId="4">
    <w:abstractNumId w:val="21"/>
  </w:num>
  <w:num w:numId="5">
    <w:abstractNumId w:val="25"/>
  </w:num>
  <w:num w:numId="6">
    <w:abstractNumId w:val="2"/>
  </w:num>
  <w:num w:numId="7">
    <w:abstractNumId w:val="4"/>
  </w:num>
  <w:num w:numId="8">
    <w:abstractNumId w:val="32"/>
  </w:num>
  <w:num w:numId="9">
    <w:abstractNumId w:val="7"/>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17"/>
  </w:num>
  <w:num w:numId="13">
    <w:abstractNumId w:val="19"/>
  </w:num>
  <w:num w:numId="14">
    <w:abstractNumId w:val="26"/>
  </w:num>
  <w:num w:numId="15">
    <w:abstractNumId w:val="9"/>
  </w:num>
  <w:num w:numId="16">
    <w:abstractNumId w:val="8"/>
  </w:num>
  <w:num w:numId="17">
    <w:abstractNumId w:val="13"/>
  </w:num>
  <w:num w:numId="18">
    <w:abstractNumId w:val="24"/>
  </w:num>
  <w:num w:numId="19">
    <w:abstractNumId w:val="14"/>
  </w:num>
  <w:num w:numId="20">
    <w:abstractNumId w:val="22"/>
  </w:num>
  <w:num w:numId="21">
    <w:abstractNumId w:val="29"/>
  </w:num>
  <w:num w:numId="22">
    <w:abstractNumId w:val="23"/>
  </w:num>
  <w:num w:numId="23">
    <w:abstractNumId w:val="30"/>
  </w:num>
  <w:num w:numId="24">
    <w:abstractNumId w:val="27"/>
  </w:num>
  <w:num w:numId="25">
    <w:abstractNumId w:val="28"/>
  </w:num>
  <w:num w:numId="26">
    <w:abstractNumId w:val="31"/>
  </w:num>
  <w:num w:numId="27">
    <w:abstractNumId w:val="1"/>
  </w:num>
  <w:num w:numId="28">
    <w:abstractNumId w:val="16"/>
  </w:num>
  <w:num w:numId="29">
    <w:abstractNumId w:val="20"/>
  </w:num>
  <w:num w:numId="30">
    <w:abstractNumId w:val="18"/>
  </w:num>
  <w:num w:numId="31">
    <w:abstractNumId w:val="3"/>
  </w:num>
  <w:num w:numId="32">
    <w:abstractNumId w:val="11"/>
  </w:num>
  <w:num w:numId="3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aarsma, K.C.A. (Karst)">
    <w15:presenceInfo w15:providerId="AD" w15:userId="S::k.c.a.jaarsma@minlnv.nl::a6caa44f3756a1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4417"/>
    <w:rsid w:val="00004382"/>
    <w:rsid w:val="00005643"/>
    <w:rsid w:val="00010D2D"/>
    <w:rsid w:val="000254CE"/>
    <w:rsid w:val="000451B3"/>
    <w:rsid w:val="000478D3"/>
    <w:rsid w:val="000523BE"/>
    <w:rsid w:val="00054CC3"/>
    <w:rsid w:val="00070FD6"/>
    <w:rsid w:val="00073712"/>
    <w:rsid w:val="000768BD"/>
    <w:rsid w:val="00094518"/>
    <w:rsid w:val="00097A80"/>
    <w:rsid w:val="000A1308"/>
    <w:rsid w:val="000A473C"/>
    <w:rsid w:val="000A6D0F"/>
    <w:rsid w:val="000B7E8C"/>
    <w:rsid w:val="000D1D83"/>
    <w:rsid w:val="000E3F79"/>
    <w:rsid w:val="000F2BEF"/>
    <w:rsid w:val="00121446"/>
    <w:rsid w:val="00121578"/>
    <w:rsid w:val="00122938"/>
    <w:rsid w:val="00126DDE"/>
    <w:rsid w:val="00127A4A"/>
    <w:rsid w:val="00133CDB"/>
    <w:rsid w:val="00147DE8"/>
    <w:rsid w:val="0015101D"/>
    <w:rsid w:val="00165B24"/>
    <w:rsid w:val="00166B5E"/>
    <w:rsid w:val="00166E85"/>
    <w:rsid w:val="00172260"/>
    <w:rsid w:val="00176038"/>
    <w:rsid w:val="00185D50"/>
    <w:rsid w:val="00187ABE"/>
    <w:rsid w:val="001968BF"/>
    <w:rsid w:val="001A1925"/>
    <w:rsid w:val="001A4598"/>
    <w:rsid w:val="001A5AB5"/>
    <w:rsid w:val="001B6A8B"/>
    <w:rsid w:val="001D044E"/>
    <w:rsid w:val="001E6AEA"/>
    <w:rsid w:val="001F14D3"/>
    <w:rsid w:val="001F1AF9"/>
    <w:rsid w:val="001F3F04"/>
    <w:rsid w:val="001F4228"/>
    <w:rsid w:val="001F4FB2"/>
    <w:rsid w:val="00201DEC"/>
    <w:rsid w:val="00207EE3"/>
    <w:rsid w:val="00215254"/>
    <w:rsid w:val="002356C1"/>
    <w:rsid w:val="00240AFF"/>
    <w:rsid w:val="0024597E"/>
    <w:rsid w:val="002526BD"/>
    <w:rsid w:val="002570E2"/>
    <w:rsid w:val="00295358"/>
    <w:rsid w:val="002A2851"/>
    <w:rsid w:val="002A6B21"/>
    <w:rsid w:val="002A7406"/>
    <w:rsid w:val="002C701D"/>
    <w:rsid w:val="002D56BE"/>
    <w:rsid w:val="002D5AE4"/>
    <w:rsid w:val="00312BFB"/>
    <w:rsid w:val="0032060E"/>
    <w:rsid w:val="003238F5"/>
    <w:rsid w:val="00324417"/>
    <w:rsid w:val="00332A4D"/>
    <w:rsid w:val="003443E9"/>
    <w:rsid w:val="00353020"/>
    <w:rsid w:val="00364EAF"/>
    <w:rsid w:val="00365C52"/>
    <w:rsid w:val="00372201"/>
    <w:rsid w:val="00375A0E"/>
    <w:rsid w:val="00385EA4"/>
    <w:rsid w:val="00386BB8"/>
    <w:rsid w:val="00395AD3"/>
    <w:rsid w:val="003A70AB"/>
    <w:rsid w:val="003D060A"/>
    <w:rsid w:val="003D432A"/>
    <w:rsid w:val="003D51F0"/>
    <w:rsid w:val="003E2F99"/>
    <w:rsid w:val="003F3549"/>
    <w:rsid w:val="003F4A4D"/>
    <w:rsid w:val="003F7789"/>
    <w:rsid w:val="004022A4"/>
    <w:rsid w:val="00411E3A"/>
    <w:rsid w:val="004205EB"/>
    <w:rsid w:val="00447495"/>
    <w:rsid w:val="00447AAF"/>
    <w:rsid w:val="00457ED1"/>
    <w:rsid w:val="00463BA3"/>
    <w:rsid w:val="0048049E"/>
    <w:rsid w:val="004845CF"/>
    <w:rsid w:val="0048782E"/>
    <w:rsid w:val="00492D88"/>
    <w:rsid w:val="00493357"/>
    <w:rsid w:val="00497F30"/>
    <w:rsid w:val="004A7599"/>
    <w:rsid w:val="004B1A48"/>
    <w:rsid w:val="004B5646"/>
    <w:rsid w:val="004D1BD1"/>
    <w:rsid w:val="004D65C1"/>
    <w:rsid w:val="004E20B5"/>
    <w:rsid w:val="004F1894"/>
    <w:rsid w:val="004F46FF"/>
    <w:rsid w:val="0050333C"/>
    <w:rsid w:val="0050563B"/>
    <w:rsid w:val="00507AB3"/>
    <w:rsid w:val="00513F7A"/>
    <w:rsid w:val="0051671D"/>
    <w:rsid w:val="0051787B"/>
    <w:rsid w:val="0052521C"/>
    <w:rsid w:val="00527DA2"/>
    <w:rsid w:val="00527E24"/>
    <w:rsid w:val="0053555F"/>
    <w:rsid w:val="005371A8"/>
    <w:rsid w:val="00541D44"/>
    <w:rsid w:val="00567BCF"/>
    <w:rsid w:val="00577229"/>
    <w:rsid w:val="0057781A"/>
    <w:rsid w:val="00585567"/>
    <w:rsid w:val="005A5513"/>
    <w:rsid w:val="005C2D68"/>
    <w:rsid w:val="005D144F"/>
    <w:rsid w:val="005D73AF"/>
    <w:rsid w:val="005E5748"/>
    <w:rsid w:val="005E5ABA"/>
    <w:rsid w:val="005F0948"/>
    <w:rsid w:val="005F4667"/>
    <w:rsid w:val="00606CD1"/>
    <w:rsid w:val="00607CFF"/>
    <w:rsid w:val="00612B66"/>
    <w:rsid w:val="006149D7"/>
    <w:rsid w:val="0067362B"/>
    <w:rsid w:val="00693962"/>
    <w:rsid w:val="00696CA7"/>
    <w:rsid w:val="006B18FF"/>
    <w:rsid w:val="006B3274"/>
    <w:rsid w:val="006B38C6"/>
    <w:rsid w:val="006B3980"/>
    <w:rsid w:val="006B5CC2"/>
    <w:rsid w:val="006B6333"/>
    <w:rsid w:val="006C4493"/>
    <w:rsid w:val="006C70F9"/>
    <w:rsid w:val="006D2E0F"/>
    <w:rsid w:val="006D6802"/>
    <w:rsid w:val="00700980"/>
    <w:rsid w:val="007054BE"/>
    <w:rsid w:val="00710D94"/>
    <w:rsid w:val="00711925"/>
    <w:rsid w:val="007131BC"/>
    <w:rsid w:val="00716411"/>
    <w:rsid w:val="007213D0"/>
    <w:rsid w:val="00721513"/>
    <w:rsid w:val="00735AF8"/>
    <w:rsid w:val="00744F55"/>
    <w:rsid w:val="007520D8"/>
    <w:rsid w:val="00756E60"/>
    <w:rsid w:val="00761A98"/>
    <w:rsid w:val="00766B85"/>
    <w:rsid w:val="007810A3"/>
    <w:rsid w:val="007861D9"/>
    <w:rsid w:val="007920E2"/>
    <w:rsid w:val="00795532"/>
    <w:rsid w:val="00795FF7"/>
    <w:rsid w:val="00797851"/>
    <w:rsid w:val="007A6FA2"/>
    <w:rsid w:val="007B1144"/>
    <w:rsid w:val="007C7B99"/>
    <w:rsid w:val="007D52A1"/>
    <w:rsid w:val="007E0805"/>
    <w:rsid w:val="007F0012"/>
    <w:rsid w:val="007F7201"/>
    <w:rsid w:val="00823C77"/>
    <w:rsid w:val="00842A2F"/>
    <w:rsid w:val="008561DC"/>
    <w:rsid w:val="00861C89"/>
    <w:rsid w:val="00871FA6"/>
    <w:rsid w:val="00877E5A"/>
    <w:rsid w:val="0089123F"/>
    <w:rsid w:val="008B1381"/>
    <w:rsid w:val="008B39FE"/>
    <w:rsid w:val="008C0386"/>
    <w:rsid w:val="008C20DA"/>
    <w:rsid w:val="008C66A3"/>
    <w:rsid w:val="008C6F73"/>
    <w:rsid w:val="00907736"/>
    <w:rsid w:val="009148DD"/>
    <w:rsid w:val="00917DB4"/>
    <w:rsid w:val="00923B78"/>
    <w:rsid w:val="009270FB"/>
    <w:rsid w:val="00934C93"/>
    <w:rsid w:val="009377EB"/>
    <w:rsid w:val="00940FC2"/>
    <w:rsid w:val="009568A8"/>
    <w:rsid w:val="00964692"/>
    <w:rsid w:val="00980B05"/>
    <w:rsid w:val="00987517"/>
    <w:rsid w:val="00987B34"/>
    <w:rsid w:val="00991639"/>
    <w:rsid w:val="00991952"/>
    <w:rsid w:val="00991DE6"/>
    <w:rsid w:val="00993629"/>
    <w:rsid w:val="0099448A"/>
    <w:rsid w:val="009B426B"/>
    <w:rsid w:val="009B5FFE"/>
    <w:rsid w:val="009C46AF"/>
    <w:rsid w:val="009C68F7"/>
    <w:rsid w:val="009D2FC3"/>
    <w:rsid w:val="009E259E"/>
    <w:rsid w:val="009E26EC"/>
    <w:rsid w:val="009E3299"/>
    <w:rsid w:val="009E3DA6"/>
    <w:rsid w:val="009E51CB"/>
    <w:rsid w:val="009E708F"/>
    <w:rsid w:val="009F5C63"/>
    <w:rsid w:val="00A0036B"/>
    <w:rsid w:val="00A021B5"/>
    <w:rsid w:val="00A0265E"/>
    <w:rsid w:val="00A032FB"/>
    <w:rsid w:val="00A07542"/>
    <w:rsid w:val="00A222B8"/>
    <w:rsid w:val="00A35BAB"/>
    <w:rsid w:val="00A55EDE"/>
    <w:rsid w:val="00A61B29"/>
    <w:rsid w:val="00A61C4F"/>
    <w:rsid w:val="00A72074"/>
    <w:rsid w:val="00A739B9"/>
    <w:rsid w:val="00A86E81"/>
    <w:rsid w:val="00A90D25"/>
    <w:rsid w:val="00A9506D"/>
    <w:rsid w:val="00AA3D4D"/>
    <w:rsid w:val="00AB1A53"/>
    <w:rsid w:val="00AB22E7"/>
    <w:rsid w:val="00AC3D0D"/>
    <w:rsid w:val="00AD79C0"/>
    <w:rsid w:val="00AE4FBE"/>
    <w:rsid w:val="00AF752E"/>
    <w:rsid w:val="00B00399"/>
    <w:rsid w:val="00B065E6"/>
    <w:rsid w:val="00B07A34"/>
    <w:rsid w:val="00B14ED4"/>
    <w:rsid w:val="00B160F9"/>
    <w:rsid w:val="00B207F7"/>
    <w:rsid w:val="00B2752D"/>
    <w:rsid w:val="00B31094"/>
    <w:rsid w:val="00B350C5"/>
    <w:rsid w:val="00B460E8"/>
    <w:rsid w:val="00B466A5"/>
    <w:rsid w:val="00B5123F"/>
    <w:rsid w:val="00B563DA"/>
    <w:rsid w:val="00B578DE"/>
    <w:rsid w:val="00B73FDE"/>
    <w:rsid w:val="00B756DE"/>
    <w:rsid w:val="00B870FA"/>
    <w:rsid w:val="00B91BF1"/>
    <w:rsid w:val="00B965C7"/>
    <w:rsid w:val="00BA1BCE"/>
    <w:rsid w:val="00BB06F2"/>
    <w:rsid w:val="00BB66E1"/>
    <w:rsid w:val="00BD16B6"/>
    <w:rsid w:val="00BE7334"/>
    <w:rsid w:val="00C02F3A"/>
    <w:rsid w:val="00C11985"/>
    <w:rsid w:val="00C126B1"/>
    <w:rsid w:val="00C134AC"/>
    <w:rsid w:val="00C30120"/>
    <w:rsid w:val="00C41CF7"/>
    <w:rsid w:val="00C62064"/>
    <w:rsid w:val="00C624B3"/>
    <w:rsid w:val="00C639BC"/>
    <w:rsid w:val="00C70CF9"/>
    <w:rsid w:val="00C72D8E"/>
    <w:rsid w:val="00C7703C"/>
    <w:rsid w:val="00C813CE"/>
    <w:rsid w:val="00C85B9D"/>
    <w:rsid w:val="00C86FE9"/>
    <w:rsid w:val="00C94541"/>
    <w:rsid w:val="00CA34F3"/>
    <w:rsid w:val="00CA3BE1"/>
    <w:rsid w:val="00CA4088"/>
    <w:rsid w:val="00CA6B14"/>
    <w:rsid w:val="00CA6B84"/>
    <w:rsid w:val="00CB1F70"/>
    <w:rsid w:val="00CB5AFD"/>
    <w:rsid w:val="00CC4A26"/>
    <w:rsid w:val="00CC58C8"/>
    <w:rsid w:val="00CC7A53"/>
    <w:rsid w:val="00CD0E61"/>
    <w:rsid w:val="00CE78BE"/>
    <w:rsid w:val="00CF2A42"/>
    <w:rsid w:val="00CF2D42"/>
    <w:rsid w:val="00CF5980"/>
    <w:rsid w:val="00D15F5E"/>
    <w:rsid w:val="00D1728D"/>
    <w:rsid w:val="00D248D7"/>
    <w:rsid w:val="00D35102"/>
    <w:rsid w:val="00D43D52"/>
    <w:rsid w:val="00D46FA3"/>
    <w:rsid w:val="00D55857"/>
    <w:rsid w:val="00D66615"/>
    <w:rsid w:val="00D70D6C"/>
    <w:rsid w:val="00D71F93"/>
    <w:rsid w:val="00D72CAB"/>
    <w:rsid w:val="00D83F90"/>
    <w:rsid w:val="00D95D78"/>
    <w:rsid w:val="00DA1753"/>
    <w:rsid w:val="00DA3168"/>
    <w:rsid w:val="00DB7395"/>
    <w:rsid w:val="00DC630A"/>
    <w:rsid w:val="00DC6780"/>
    <w:rsid w:val="00DC6CAE"/>
    <w:rsid w:val="00DD6B84"/>
    <w:rsid w:val="00DE308A"/>
    <w:rsid w:val="00DE3789"/>
    <w:rsid w:val="00DE3D4D"/>
    <w:rsid w:val="00DE4F0B"/>
    <w:rsid w:val="00DE7678"/>
    <w:rsid w:val="00E06C8F"/>
    <w:rsid w:val="00E16942"/>
    <w:rsid w:val="00E16C54"/>
    <w:rsid w:val="00E1799E"/>
    <w:rsid w:val="00E22B4D"/>
    <w:rsid w:val="00E27E32"/>
    <w:rsid w:val="00E33800"/>
    <w:rsid w:val="00E33E11"/>
    <w:rsid w:val="00E42FBB"/>
    <w:rsid w:val="00E50051"/>
    <w:rsid w:val="00E70F9C"/>
    <w:rsid w:val="00E747D9"/>
    <w:rsid w:val="00E7694D"/>
    <w:rsid w:val="00E801E5"/>
    <w:rsid w:val="00E91356"/>
    <w:rsid w:val="00E915A1"/>
    <w:rsid w:val="00EA070D"/>
    <w:rsid w:val="00EC4BC0"/>
    <w:rsid w:val="00EC7B6F"/>
    <w:rsid w:val="00EE3ADB"/>
    <w:rsid w:val="00F02FF2"/>
    <w:rsid w:val="00F03386"/>
    <w:rsid w:val="00F04E41"/>
    <w:rsid w:val="00F2063F"/>
    <w:rsid w:val="00F24D37"/>
    <w:rsid w:val="00F3328E"/>
    <w:rsid w:val="00F33291"/>
    <w:rsid w:val="00F40945"/>
    <w:rsid w:val="00F409BE"/>
    <w:rsid w:val="00F411B2"/>
    <w:rsid w:val="00F416D4"/>
    <w:rsid w:val="00F50816"/>
    <w:rsid w:val="00F55AD6"/>
    <w:rsid w:val="00F56A9B"/>
    <w:rsid w:val="00F604BE"/>
    <w:rsid w:val="00F84AB0"/>
    <w:rsid w:val="00F86FAD"/>
    <w:rsid w:val="00F95E24"/>
    <w:rsid w:val="00FA0FD4"/>
    <w:rsid w:val="00FA1A29"/>
    <w:rsid w:val="00FA313B"/>
    <w:rsid w:val="00FB418E"/>
    <w:rsid w:val="00FE1C53"/>
    <w:rsid w:val="00FF6F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AD8107D"/>
  <w15:docId w15:val="{6E9F2C49-D09D-44FE-8F3A-A12E22290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F3F04"/>
    <w:pPr>
      <w:spacing w:after="0" w:line="240" w:lineRule="auto"/>
    </w:pPr>
    <w:rPr>
      <w:rFonts w:ascii="Times New Roman" w:eastAsia="Times New Roman" w:hAnsi="Times New Roman" w:cs="Times New Roman"/>
      <w:sz w:val="24"/>
      <w:szCs w:val="24"/>
      <w:lang w:val="en-US"/>
    </w:rPr>
  </w:style>
  <w:style w:type="paragraph" w:styleId="berschrift1">
    <w:name w:val="heading 1"/>
    <w:basedOn w:val="Standard"/>
    <w:next w:val="Standard"/>
    <w:link w:val="berschrift1Zchn"/>
    <w:uiPriority w:val="9"/>
    <w:qFormat/>
    <w:rsid w:val="00DE3D4D"/>
    <w:pPr>
      <w:spacing w:after="120" w:line="276" w:lineRule="auto"/>
      <w:outlineLvl w:val="0"/>
    </w:pPr>
    <w:rPr>
      <w:rFonts w:ascii="Arial" w:hAnsi="Arial" w:cs="Arial"/>
      <w:sz w:val="28"/>
      <w:szCs w:val="28"/>
      <w:lang w:val="en-GB"/>
    </w:rPr>
  </w:style>
  <w:style w:type="paragraph" w:styleId="berschrift2">
    <w:name w:val="heading 2"/>
    <w:basedOn w:val="Standard"/>
    <w:next w:val="Standard"/>
    <w:link w:val="berschrift2Zchn"/>
    <w:uiPriority w:val="9"/>
    <w:unhideWhenUsed/>
    <w:qFormat/>
    <w:rsid w:val="00DE3D4D"/>
    <w:pPr>
      <w:spacing w:after="120"/>
      <w:outlineLvl w:val="1"/>
    </w:pPr>
    <w:rPr>
      <w:rFonts w:ascii="Arial" w:eastAsiaTheme="majorEastAsia" w:hAnsi="Arial" w:cs="Arial"/>
      <w:b/>
      <w:bCs/>
      <w:color w:val="000000" w:themeColor="text1"/>
      <w:lang w:val="en-GB"/>
    </w:rPr>
  </w:style>
  <w:style w:type="paragraph" w:styleId="berschrift5">
    <w:name w:val="heading 5"/>
    <w:basedOn w:val="Standard"/>
    <w:next w:val="Standard"/>
    <w:link w:val="berschrift5Zchn"/>
    <w:uiPriority w:val="9"/>
    <w:semiHidden/>
    <w:unhideWhenUsed/>
    <w:qFormat/>
    <w:rsid w:val="00CC4A26"/>
    <w:pPr>
      <w:keepNext/>
      <w:keepLines/>
      <w:spacing w:before="40"/>
      <w:outlineLvl w:val="4"/>
    </w:pPr>
    <w:rPr>
      <w:rFonts w:asciiTheme="majorHAnsi" w:eastAsiaTheme="majorEastAsia" w:hAnsiTheme="majorHAnsi" w:cstheme="majorBidi"/>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8561DC"/>
    <w:pPr>
      <w:tabs>
        <w:tab w:val="center" w:pos="4703"/>
        <w:tab w:val="right" w:pos="9406"/>
      </w:tabs>
    </w:pPr>
  </w:style>
  <w:style w:type="character" w:customStyle="1" w:styleId="KopfzeileZchn">
    <w:name w:val="Kopfzeile Zchn"/>
    <w:basedOn w:val="Absatz-Standardschriftart"/>
    <w:link w:val="Kopfzeile"/>
    <w:uiPriority w:val="99"/>
    <w:rsid w:val="008561DC"/>
    <w:rPr>
      <w:rFonts w:ascii="Times New Roman" w:eastAsia="Times New Roman" w:hAnsi="Times New Roman" w:cs="Times New Roman"/>
      <w:sz w:val="24"/>
      <w:szCs w:val="24"/>
      <w:lang w:val="en-US"/>
    </w:rPr>
  </w:style>
  <w:style w:type="paragraph" w:styleId="Fuzeile">
    <w:name w:val="footer"/>
    <w:basedOn w:val="Standard"/>
    <w:link w:val="FuzeileZchn"/>
    <w:uiPriority w:val="99"/>
    <w:rsid w:val="008561DC"/>
    <w:pPr>
      <w:tabs>
        <w:tab w:val="center" w:pos="4703"/>
        <w:tab w:val="right" w:pos="9406"/>
      </w:tabs>
    </w:pPr>
  </w:style>
  <w:style w:type="character" w:customStyle="1" w:styleId="FuzeileZchn">
    <w:name w:val="Fußzeile Zchn"/>
    <w:basedOn w:val="Absatz-Standardschriftart"/>
    <w:link w:val="Fuzeile"/>
    <w:uiPriority w:val="99"/>
    <w:rsid w:val="008561DC"/>
    <w:rPr>
      <w:rFonts w:ascii="Times New Roman" w:eastAsia="Times New Roman" w:hAnsi="Times New Roman" w:cs="Times New Roman"/>
      <w:sz w:val="24"/>
      <w:szCs w:val="24"/>
      <w:lang w:val="en-US"/>
    </w:rPr>
  </w:style>
  <w:style w:type="paragraph" w:styleId="Listenabsatz">
    <w:name w:val="List Paragraph"/>
    <w:basedOn w:val="Standard"/>
    <w:uiPriority w:val="34"/>
    <w:qFormat/>
    <w:rsid w:val="00010D2D"/>
    <w:pPr>
      <w:ind w:left="720"/>
      <w:contextualSpacing/>
    </w:pPr>
  </w:style>
  <w:style w:type="paragraph" w:styleId="Sprechblasentext">
    <w:name w:val="Balloon Text"/>
    <w:basedOn w:val="Standard"/>
    <w:link w:val="SprechblasentextZchn"/>
    <w:uiPriority w:val="99"/>
    <w:semiHidden/>
    <w:unhideWhenUsed/>
    <w:rsid w:val="00E27E3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27E32"/>
    <w:rPr>
      <w:rFonts w:ascii="Tahoma" w:eastAsia="Times New Roman" w:hAnsi="Tahoma" w:cs="Tahoma"/>
      <w:sz w:val="16"/>
      <w:szCs w:val="16"/>
      <w:lang w:val="en-US"/>
    </w:rPr>
  </w:style>
  <w:style w:type="character" w:styleId="Hyperlink">
    <w:name w:val="Hyperlink"/>
    <w:basedOn w:val="Absatz-Standardschriftart"/>
    <w:uiPriority w:val="99"/>
    <w:unhideWhenUsed/>
    <w:rsid w:val="009C46AF"/>
    <w:rPr>
      <w:color w:val="0000FF" w:themeColor="hyperlink"/>
      <w:u w:val="single"/>
    </w:rPr>
  </w:style>
  <w:style w:type="character" w:customStyle="1" w:styleId="NichtaufgelsteErwhnung1">
    <w:name w:val="Nicht aufgelöste Erwähnung1"/>
    <w:basedOn w:val="Absatz-Standardschriftart"/>
    <w:uiPriority w:val="99"/>
    <w:semiHidden/>
    <w:unhideWhenUsed/>
    <w:rsid w:val="009C46AF"/>
    <w:rPr>
      <w:color w:val="605E5C"/>
      <w:shd w:val="clear" w:color="auto" w:fill="E1DFDD"/>
    </w:rPr>
  </w:style>
  <w:style w:type="paragraph" w:styleId="Endnotentext">
    <w:name w:val="endnote text"/>
    <w:basedOn w:val="Standard"/>
    <w:link w:val="EndnotentextZchn"/>
    <w:uiPriority w:val="99"/>
    <w:semiHidden/>
    <w:unhideWhenUsed/>
    <w:rsid w:val="00987517"/>
    <w:rPr>
      <w:sz w:val="20"/>
      <w:szCs w:val="20"/>
    </w:rPr>
  </w:style>
  <w:style w:type="character" w:customStyle="1" w:styleId="EndnotentextZchn">
    <w:name w:val="Endnotentext Zchn"/>
    <w:basedOn w:val="Absatz-Standardschriftart"/>
    <w:link w:val="Endnotentext"/>
    <w:uiPriority w:val="99"/>
    <w:semiHidden/>
    <w:rsid w:val="00987517"/>
    <w:rPr>
      <w:rFonts w:ascii="Times New Roman" w:eastAsia="Times New Roman" w:hAnsi="Times New Roman" w:cs="Times New Roman"/>
      <w:sz w:val="20"/>
      <w:szCs w:val="20"/>
      <w:lang w:val="en-US"/>
    </w:rPr>
  </w:style>
  <w:style w:type="character" w:styleId="Endnotenzeichen">
    <w:name w:val="endnote reference"/>
    <w:basedOn w:val="Absatz-Standardschriftart"/>
    <w:uiPriority w:val="99"/>
    <w:semiHidden/>
    <w:unhideWhenUsed/>
    <w:rsid w:val="00987517"/>
    <w:rPr>
      <w:vertAlign w:val="superscript"/>
    </w:rPr>
  </w:style>
  <w:style w:type="character" w:customStyle="1" w:styleId="berschrift2Zchn">
    <w:name w:val="Überschrift 2 Zchn"/>
    <w:basedOn w:val="Absatz-Standardschriftart"/>
    <w:link w:val="berschrift2"/>
    <w:uiPriority w:val="9"/>
    <w:rsid w:val="00DE3D4D"/>
    <w:rPr>
      <w:rFonts w:ascii="Arial" w:eastAsiaTheme="majorEastAsia" w:hAnsi="Arial" w:cs="Arial"/>
      <w:b/>
      <w:bCs/>
      <w:color w:val="000000" w:themeColor="text1"/>
      <w:sz w:val="24"/>
      <w:szCs w:val="24"/>
    </w:rPr>
  </w:style>
  <w:style w:type="character" w:customStyle="1" w:styleId="berschrift1Zchn">
    <w:name w:val="Überschrift 1 Zchn"/>
    <w:basedOn w:val="Absatz-Standardschriftart"/>
    <w:link w:val="berschrift1"/>
    <w:uiPriority w:val="9"/>
    <w:rsid w:val="00DE3D4D"/>
    <w:rPr>
      <w:rFonts w:ascii="Arial" w:eastAsia="Times New Roman" w:hAnsi="Arial" w:cs="Arial"/>
      <w:sz w:val="28"/>
      <w:szCs w:val="28"/>
    </w:rPr>
  </w:style>
  <w:style w:type="paragraph" w:customStyle="1" w:styleId="6captions">
    <w:name w:val="6 captions"/>
    <w:basedOn w:val="Standard"/>
    <w:qFormat/>
    <w:rsid w:val="001F4FB2"/>
    <w:pPr>
      <w:spacing w:after="170" w:line="340" w:lineRule="exact"/>
      <w:ind w:left="567" w:right="567"/>
    </w:pPr>
    <w:rPr>
      <w:rFonts w:ascii="Georgia" w:eastAsiaTheme="minorEastAsia" w:hAnsi="Georgia" w:cs="Arial"/>
      <w:i/>
      <w:color w:val="279DCE"/>
      <w:sz w:val="22"/>
      <w:szCs w:val="22"/>
    </w:rPr>
  </w:style>
  <w:style w:type="paragraph" w:styleId="Textkrper-Zeileneinzug">
    <w:name w:val="Body Text Indent"/>
    <w:basedOn w:val="Standard"/>
    <w:link w:val="Textkrper-ZeileneinzugZchn"/>
    <w:rsid w:val="003F3549"/>
    <w:pPr>
      <w:ind w:left="360" w:hanging="360"/>
    </w:pPr>
    <w:rPr>
      <w:rFonts w:ascii="Arial" w:hAnsi="Arial" w:cs="Arial"/>
      <w:sz w:val="20"/>
      <w:szCs w:val="20"/>
    </w:rPr>
  </w:style>
  <w:style w:type="character" w:customStyle="1" w:styleId="Textkrper-ZeileneinzugZchn">
    <w:name w:val="Textkörper-Zeileneinzug Zchn"/>
    <w:basedOn w:val="Absatz-Standardschriftart"/>
    <w:link w:val="Textkrper-Zeileneinzug"/>
    <w:rsid w:val="003F3549"/>
    <w:rPr>
      <w:rFonts w:ascii="Arial" w:eastAsia="Times New Roman" w:hAnsi="Arial" w:cs="Arial"/>
      <w:sz w:val="20"/>
      <w:szCs w:val="20"/>
      <w:lang w:val="en-US"/>
    </w:rPr>
  </w:style>
  <w:style w:type="table" w:styleId="Tabellenraster">
    <w:name w:val="Table Grid"/>
    <w:basedOn w:val="NormaleTabelle"/>
    <w:uiPriority w:val="59"/>
    <w:rsid w:val="00E42F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5dunkelAkzent5">
    <w:name w:val="Grid Table 5 Dark Accent 5"/>
    <w:basedOn w:val="NormaleTabelle"/>
    <w:uiPriority w:val="50"/>
    <w:rsid w:val="00126DD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styleId="Kommentarzeichen">
    <w:name w:val="annotation reference"/>
    <w:basedOn w:val="Absatz-Standardschriftart"/>
    <w:uiPriority w:val="99"/>
    <w:semiHidden/>
    <w:unhideWhenUsed/>
    <w:rsid w:val="00612B66"/>
    <w:rPr>
      <w:sz w:val="16"/>
      <w:szCs w:val="16"/>
    </w:rPr>
  </w:style>
  <w:style w:type="paragraph" w:styleId="Kommentartext">
    <w:name w:val="annotation text"/>
    <w:basedOn w:val="Standard"/>
    <w:link w:val="KommentartextZchn"/>
    <w:uiPriority w:val="99"/>
    <w:unhideWhenUsed/>
    <w:rsid w:val="00612B66"/>
    <w:rPr>
      <w:sz w:val="20"/>
      <w:szCs w:val="20"/>
    </w:rPr>
  </w:style>
  <w:style w:type="character" w:customStyle="1" w:styleId="KommentartextZchn">
    <w:name w:val="Kommentartext Zchn"/>
    <w:basedOn w:val="Absatz-Standardschriftart"/>
    <w:link w:val="Kommentartext"/>
    <w:uiPriority w:val="99"/>
    <w:rsid w:val="00612B66"/>
    <w:rPr>
      <w:rFonts w:ascii="Times New Roman" w:eastAsia="Times New Roman" w:hAnsi="Times New Roman" w:cs="Times New Roman"/>
      <w:sz w:val="20"/>
      <w:szCs w:val="20"/>
      <w:lang w:val="en-US"/>
    </w:rPr>
  </w:style>
  <w:style w:type="paragraph" w:styleId="Kommentarthema">
    <w:name w:val="annotation subject"/>
    <w:basedOn w:val="Kommentartext"/>
    <w:next w:val="Kommentartext"/>
    <w:link w:val="KommentarthemaZchn"/>
    <w:uiPriority w:val="99"/>
    <w:semiHidden/>
    <w:unhideWhenUsed/>
    <w:rsid w:val="00612B66"/>
    <w:rPr>
      <w:b/>
      <w:bCs/>
    </w:rPr>
  </w:style>
  <w:style w:type="character" w:customStyle="1" w:styleId="KommentarthemaZchn">
    <w:name w:val="Kommentarthema Zchn"/>
    <w:basedOn w:val="KommentartextZchn"/>
    <w:link w:val="Kommentarthema"/>
    <w:uiPriority w:val="99"/>
    <w:semiHidden/>
    <w:rsid w:val="00612B66"/>
    <w:rPr>
      <w:rFonts w:ascii="Times New Roman" w:eastAsia="Times New Roman" w:hAnsi="Times New Roman" w:cs="Times New Roman"/>
      <w:b/>
      <w:bCs/>
      <w:sz w:val="20"/>
      <w:szCs w:val="20"/>
      <w:lang w:val="en-US"/>
    </w:rPr>
  </w:style>
  <w:style w:type="paragraph" w:styleId="HTMLVorformatiert">
    <w:name w:val="HTML Preformatted"/>
    <w:basedOn w:val="Standard"/>
    <w:link w:val="HTMLVorformatiertZchn"/>
    <w:uiPriority w:val="99"/>
    <w:unhideWhenUsed/>
    <w:rsid w:val="00AC3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de-DE" w:eastAsia="de-DE"/>
    </w:rPr>
  </w:style>
  <w:style w:type="character" w:customStyle="1" w:styleId="HTMLVorformatiertZchn">
    <w:name w:val="HTML Vorformatiert Zchn"/>
    <w:basedOn w:val="Absatz-Standardschriftart"/>
    <w:link w:val="HTMLVorformatiert"/>
    <w:uiPriority w:val="99"/>
    <w:rsid w:val="00AC3D0D"/>
    <w:rPr>
      <w:rFonts w:ascii="Courier New" w:eastAsia="Times New Roman" w:hAnsi="Courier New" w:cs="Courier New"/>
      <w:sz w:val="20"/>
      <w:szCs w:val="20"/>
      <w:lang w:val="de-DE" w:eastAsia="de-DE"/>
    </w:rPr>
  </w:style>
  <w:style w:type="character" w:customStyle="1" w:styleId="berschrift5Zchn">
    <w:name w:val="Überschrift 5 Zchn"/>
    <w:basedOn w:val="Absatz-Standardschriftart"/>
    <w:link w:val="berschrift5"/>
    <w:rsid w:val="00CC4A26"/>
    <w:rPr>
      <w:rFonts w:asciiTheme="majorHAnsi" w:eastAsiaTheme="majorEastAsia" w:hAnsiTheme="majorHAnsi" w:cstheme="majorBidi"/>
      <w:color w:val="365F91" w:themeColor="accent1" w:themeShade="BF"/>
      <w:sz w:val="24"/>
      <w:szCs w:val="24"/>
      <w:lang w:val="en-US"/>
    </w:rPr>
  </w:style>
  <w:style w:type="paragraph" w:styleId="Funotentext">
    <w:name w:val="footnote text"/>
    <w:basedOn w:val="Standard"/>
    <w:link w:val="FunotentextZchn"/>
    <w:uiPriority w:val="99"/>
    <w:semiHidden/>
    <w:unhideWhenUsed/>
    <w:rsid w:val="00493357"/>
    <w:rPr>
      <w:sz w:val="20"/>
      <w:szCs w:val="20"/>
    </w:rPr>
  </w:style>
  <w:style w:type="character" w:customStyle="1" w:styleId="FunotentextZchn">
    <w:name w:val="Fußnotentext Zchn"/>
    <w:basedOn w:val="Absatz-Standardschriftart"/>
    <w:link w:val="Funotentext"/>
    <w:uiPriority w:val="99"/>
    <w:semiHidden/>
    <w:rsid w:val="00493357"/>
    <w:rPr>
      <w:rFonts w:ascii="Times New Roman" w:eastAsia="Times New Roman" w:hAnsi="Times New Roman" w:cs="Times New Roman"/>
      <w:sz w:val="20"/>
      <w:szCs w:val="20"/>
      <w:lang w:val="en-US"/>
    </w:rPr>
  </w:style>
  <w:style w:type="character" w:styleId="Funotenzeichen">
    <w:name w:val="footnote reference"/>
    <w:basedOn w:val="Absatz-Standardschriftart"/>
    <w:uiPriority w:val="99"/>
    <w:semiHidden/>
    <w:unhideWhenUsed/>
    <w:rsid w:val="00493357"/>
    <w:rPr>
      <w:vertAlign w:val="superscript"/>
    </w:rPr>
  </w:style>
  <w:style w:type="paragraph" w:customStyle="1" w:styleId="Default">
    <w:name w:val="Default"/>
    <w:basedOn w:val="Standard"/>
    <w:rsid w:val="00DC6780"/>
    <w:pPr>
      <w:autoSpaceDE w:val="0"/>
      <w:autoSpaceDN w:val="0"/>
    </w:pPr>
    <w:rPr>
      <w:rFonts w:ascii="Segoe UI" w:eastAsiaTheme="minorHAnsi" w:hAnsi="Segoe UI" w:cs="Segoe UI"/>
      <w:color w:val="000000"/>
      <w:lang w:val="nl-NL" w:eastAsia="nl-NL"/>
    </w:rPr>
  </w:style>
  <w:style w:type="paragraph" w:customStyle="1" w:styleId="4bodytext">
    <w:name w:val="4_body text"/>
    <w:basedOn w:val="Standard"/>
    <w:qFormat/>
    <w:rsid w:val="00C86FE9"/>
    <w:pPr>
      <w:spacing w:after="170" w:line="340" w:lineRule="exact"/>
    </w:pPr>
    <w:rPr>
      <w:rFonts w:ascii="Georgia" w:eastAsiaTheme="minorEastAsia" w:hAnsi="Georgia" w:cs="Arial"/>
      <w:color w:val="000000" w:themeColor="text1"/>
      <w:sz w:val="22"/>
      <w:szCs w:val="22"/>
    </w:rPr>
  </w:style>
  <w:style w:type="paragraph" w:customStyle="1" w:styleId="2sub-sections">
    <w:name w:val="2_sub-sections"/>
    <w:basedOn w:val="Standard"/>
    <w:qFormat/>
    <w:rsid w:val="001E6AEA"/>
    <w:pPr>
      <w:spacing w:before="600" w:after="170" w:line="340" w:lineRule="exact"/>
    </w:pPr>
    <w:rPr>
      <w:rFonts w:ascii="Arial" w:eastAsiaTheme="minorEastAsia" w:hAnsi="Arial" w:cs="Arial"/>
      <w:b/>
      <w:color w:val="003047"/>
      <w:sz w:val="28"/>
      <w:szCs w:val="28"/>
    </w:rPr>
  </w:style>
  <w:style w:type="paragraph" w:customStyle="1" w:styleId="1Sectiontitles">
    <w:name w:val="1_Section titles"/>
    <w:basedOn w:val="Standard"/>
    <w:qFormat/>
    <w:rsid w:val="001E6AEA"/>
    <w:pPr>
      <w:spacing w:before="340" w:after="340"/>
    </w:pPr>
    <w:rPr>
      <w:rFonts w:ascii="Arial" w:eastAsiaTheme="minorEastAsia" w:hAnsi="Arial" w:cs="Arial"/>
      <w:b/>
      <w:color w:val="279DCE"/>
      <w:sz w:val="48"/>
      <w:szCs w:val="48"/>
    </w:rPr>
  </w:style>
  <w:style w:type="paragraph" w:customStyle="1" w:styleId="3subheadings">
    <w:name w:val="3_subheadings"/>
    <w:basedOn w:val="Standard"/>
    <w:qFormat/>
    <w:rsid w:val="001E6AEA"/>
    <w:pPr>
      <w:spacing w:line="340" w:lineRule="exact"/>
    </w:pPr>
    <w:rPr>
      <w:rFonts w:ascii="Arial" w:eastAsiaTheme="minorEastAsia" w:hAnsi="Arial" w:cs="Arial"/>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2866238">
      <w:bodyDiv w:val="1"/>
      <w:marLeft w:val="0"/>
      <w:marRight w:val="0"/>
      <w:marTop w:val="0"/>
      <w:marBottom w:val="0"/>
      <w:divBdr>
        <w:top w:val="none" w:sz="0" w:space="0" w:color="auto"/>
        <w:left w:val="none" w:sz="0" w:space="0" w:color="auto"/>
        <w:bottom w:val="none" w:sz="0" w:space="0" w:color="auto"/>
        <w:right w:val="none" w:sz="0" w:space="0" w:color="auto"/>
      </w:divBdr>
    </w:div>
    <w:div w:id="423115533">
      <w:bodyDiv w:val="1"/>
      <w:marLeft w:val="0"/>
      <w:marRight w:val="0"/>
      <w:marTop w:val="0"/>
      <w:marBottom w:val="0"/>
      <w:divBdr>
        <w:top w:val="none" w:sz="0" w:space="0" w:color="auto"/>
        <w:left w:val="none" w:sz="0" w:space="0" w:color="auto"/>
        <w:bottom w:val="none" w:sz="0" w:space="0" w:color="auto"/>
        <w:right w:val="none" w:sz="0" w:space="0" w:color="auto"/>
      </w:divBdr>
    </w:div>
    <w:div w:id="703485849">
      <w:bodyDiv w:val="1"/>
      <w:marLeft w:val="0"/>
      <w:marRight w:val="0"/>
      <w:marTop w:val="0"/>
      <w:marBottom w:val="0"/>
      <w:divBdr>
        <w:top w:val="none" w:sz="0" w:space="0" w:color="auto"/>
        <w:left w:val="none" w:sz="0" w:space="0" w:color="auto"/>
        <w:bottom w:val="none" w:sz="0" w:space="0" w:color="auto"/>
        <w:right w:val="none" w:sz="0" w:space="0" w:color="auto"/>
      </w:divBdr>
      <w:divsChild>
        <w:div w:id="783303939">
          <w:marLeft w:val="0"/>
          <w:marRight w:val="0"/>
          <w:marTop w:val="0"/>
          <w:marBottom w:val="0"/>
          <w:divBdr>
            <w:top w:val="none" w:sz="0" w:space="0" w:color="auto"/>
            <w:left w:val="none" w:sz="0" w:space="0" w:color="auto"/>
            <w:bottom w:val="none" w:sz="0" w:space="0" w:color="auto"/>
            <w:right w:val="none" w:sz="0" w:space="0" w:color="auto"/>
          </w:divBdr>
          <w:divsChild>
            <w:div w:id="655261472">
              <w:marLeft w:val="0"/>
              <w:marRight w:val="0"/>
              <w:marTop w:val="0"/>
              <w:marBottom w:val="0"/>
              <w:divBdr>
                <w:top w:val="none" w:sz="0" w:space="0" w:color="auto"/>
                <w:left w:val="none" w:sz="0" w:space="0" w:color="auto"/>
                <w:bottom w:val="none" w:sz="0" w:space="0" w:color="auto"/>
                <w:right w:val="none" w:sz="0" w:space="0" w:color="auto"/>
              </w:divBdr>
              <w:divsChild>
                <w:div w:id="1117260682">
                  <w:marLeft w:val="0"/>
                  <w:marRight w:val="0"/>
                  <w:marTop w:val="0"/>
                  <w:marBottom w:val="0"/>
                  <w:divBdr>
                    <w:top w:val="none" w:sz="0" w:space="0" w:color="auto"/>
                    <w:left w:val="none" w:sz="0" w:space="0" w:color="auto"/>
                    <w:bottom w:val="none" w:sz="0" w:space="0" w:color="auto"/>
                    <w:right w:val="none" w:sz="0" w:space="0" w:color="auto"/>
                  </w:divBdr>
                  <w:divsChild>
                    <w:div w:id="138576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2349637">
      <w:bodyDiv w:val="1"/>
      <w:marLeft w:val="0"/>
      <w:marRight w:val="0"/>
      <w:marTop w:val="0"/>
      <w:marBottom w:val="0"/>
      <w:divBdr>
        <w:top w:val="none" w:sz="0" w:space="0" w:color="auto"/>
        <w:left w:val="none" w:sz="0" w:space="0" w:color="auto"/>
        <w:bottom w:val="none" w:sz="0" w:space="0" w:color="auto"/>
        <w:right w:val="none" w:sz="0" w:space="0" w:color="auto"/>
      </w:divBdr>
    </w:div>
    <w:div w:id="1090929093">
      <w:bodyDiv w:val="1"/>
      <w:marLeft w:val="0"/>
      <w:marRight w:val="0"/>
      <w:marTop w:val="0"/>
      <w:marBottom w:val="0"/>
      <w:divBdr>
        <w:top w:val="none" w:sz="0" w:space="0" w:color="auto"/>
        <w:left w:val="none" w:sz="0" w:space="0" w:color="auto"/>
        <w:bottom w:val="none" w:sz="0" w:space="0" w:color="auto"/>
        <w:right w:val="none" w:sz="0" w:space="0" w:color="auto"/>
      </w:divBdr>
    </w:div>
    <w:div w:id="1661930237">
      <w:bodyDiv w:val="1"/>
      <w:marLeft w:val="0"/>
      <w:marRight w:val="0"/>
      <w:marTop w:val="0"/>
      <w:marBottom w:val="0"/>
      <w:divBdr>
        <w:top w:val="none" w:sz="0" w:space="0" w:color="auto"/>
        <w:left w:val="none" w:sz="0" w:space="0" w:color="auto"/>
        <w:bottom w:val="none" w:sz="0" w:space="0" w:color="auto"/>
        <w:right w:val="none" w:sz="0" w:space="0" w:color="auto"/>
      </w:divBdr>
    </w:div>
    <w:div w:id="1756172182">
      <w:bodyDiv w:val="1"/>
      <w:marLeft w:val="0"/>
      <w:marRight w:val="0"/>
      <w:marTop w:val="0"/>
      <w:marBottom w:val="0"/>
      <w:divBdr>
        <w:top w:val="none" w:sz="0" w:space="0" w:color="auto"/>
        <w:left w:val="none" w:sz="0" w:space="0" w:color="auto"/>
        <w:bottom w:val="none" w:sz="0" w:space="0" w:color="auto"/>
        <w:right w:val="none" w:sz="0" w:space="0" w:color="auto"/>
      </w:divBdr>
    </w:div>
    <w:div w:id="1961375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c.europa.eu/energy/en/topics/energy-strategy-and-energy-union/energy-union" TargetMode="External"/><Relationship Id="rId13" Type="http://schemas.openxmlformats.org/officeDocument/2006/relationships/image" Target="media/image3.png"/><Relationship Id="rId18" Type="http://schemas.openxmlformats.org/officeDocument/2006/relationships/chart" Target="charts/chart1.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creativecommons.org/licenses/by-sa/2.0" TargetMode="External"/><Relationship Id="rId2" Type="http://schemas.openxmlformats.org/officeDocument/2006/relationships/numbering" Target="numbering.xml"/><Relationship Id="rId16" Type="http://schemas.openxmlformats.org/officeDocument/2006/relationships/hyperlink" Target="https://upload.wikimedia.org/wikipedia/commons/a/a1/Map_of_the_offshore_wind_power_farms_in_the_German_Bight.png"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creativecommons.org/licenses/by-sa/2.0" TargetMode="External"/><Relationship Id="rId10" Type="http://schemas.openxmlformats.org/officeDocument/2006/relationships/header" Target="head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file:///\\cwss-dc01\cwss\02%20Trilateral%20Cooperation\2.5%20Task%20Groups\TG-MM\TG-M%202019%20-\TG-M%2020-1\docs\ec.europa.eu\energy" TargetMode="External"/><Relationship Id="rId14" Type="http://schemas.openxmlformats.org/officeDocument/2006/relationships/hyperlink" Target="https://upload.wikimedia.org/wikipedia/commons/a/a1/Map_of_the_offshore_wind_power_farms_in_the_German_Bight.png"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cwss-dc01\cwss\07%20UNESCO%20World%20Heritage\07.13%20WH%20Management%20Plan%20-%20SIMP\003_SIMPKeyTopics_v0\Energy\Energy.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barChart>
        <c:barDir val="col"/>
        <c:grouping val="stacked"/>
        <c:varyColors val="0"/>
        <c:ser>
          <c:idx val="0"/>
          <c:order val="0"/>
          <c:tx>
            <c:strRef>
              <c:f>'v0.1_31July2020'!$C$3</c:f>
              <c:strCache>
                <c:ptCount val="1"/>
                <c:pt idx="0">
                  <c:v>Germany</c:v>
                </c:pt>
              </c:strCache>
            </c:strRef>
          </c:tx>
          <c:spPr>
            <a:solidFill>
              <a:schemeClr val="accent5">
                <a:shade val="65000"/>
              </a:schemeClr>
            </a:solidFill>
            <a:ln>
              <a:noFill/>
            </a:ln>
            <a:effectLst/>
          </c:spPr>
          <c:invertIfNegative val="0"/>
          <c:cat>
            <c:numRef>
              <c:f>'v0.1_31July2020'!$B$4:$B$9</c:f>
              <c:numCache>
                <c:formatCode>General</c:formatCode>
                <c:ptCount val="6"/>
                <c:pt idx="0">
                  <c:v>2020</c:v>
                </c:pt>
                <c:pt idx="1">
                  <c:v>2030</c:v>
                </c:pt>
                <c:pt idx="2">
                  <c:v>2014</c:v>
                </c:pt>
                <c:pt idx="3">
                  <c:v>2030</c:v>
                </c:pt>
                <c:pt idx="4">
                  <c:v>2014</c:v>
                </c:pt>
                <c:pt idx="5">
                  <c:v>2030</c:v>
                </c:pt>
              </c:numCache>
            </c:numRef>
          </c:cat>
          <c:val>
            <c:numRef>
              <c:f>'v0.1_31July2020'!$C$4:$C$9</c:f>
              <c:numCache>
                <c:formatCode>General</c:formatCode>
                <c:ptCount val="6"/>
                <c:pt idx="0">
                  <c:v>6500</c:v>
                </c:pt>
                <c:pt idx="1">
                  <c:v>20000</c:v>
                </c:pt>
              </c:numCache>
            </c:numRef>
          </c:val>
          <c:extLst>
            <c:ext xmlns:c16="http://schemas.microsoft.com/office/drawing/2014/chart" uri="{C3380CC4-5D6E-409C-BE32-E72D297353CC}">
              <c16:uniqueId val="{00000000-899C-41B0-83BE-72943EFE30A7}"/>
            </c:ext>
          </c:extLst>
        </c:ser>
        <c:ser>
          <c:idx val="1"/>
          <c:order val="1"/>
          <c:tx>
            <c:strRef>
              <c:f>'v0.1_31July2020'!$D$3</c:f>
              <c:strCache>
                <c:ptCount val="1"/>
                <c:pt idx="0">
                  <c:v>The Netherlands</c:v>
                </c:pt>
              </c:strCache>
            </c:strRef>
          </c:tx>
          <c:spPr>
            <a:solidFill>
              <a:schemeClr val="accent5"/>
            </a:solidFill>
            <a:ln>
              <a:noFill/>
            </a:ln>
            <a:effectLst/>
          </c:spPr>
          <c:invertIfNegative val="0"/>
          <c:cat>
            <c:numRef>
              <c:f>'v0.1_31July2020'!$B$4:$B$9</c:f>
              <c:numCache>
                <c:formatCode>General</c:formatCode>
                <c:ptCount val="6"/>
                <c:pt idx="0">
                  <c:v>2020</c:v>
                </c:pt>
                <c:pt idx="1">
                  <c:v>2030</c:v>
                </c:pt>
                <c:pt idx="2">
                  <c:v>2014</c:v>
                </c:pt>
                <c:pt idx="3">
                  <c:v>2030</c:v>
                </c:pt>
                <c:pt idx="4">
                  <c:v>2014</c:v>
                </c:pt>
                <c:pt idx="5">
                  <c:v>2030</c:v>
                </c:pt>
              </c:numCache>
            </c:numRef>
          </c:cat>
          <c:val>
            <c:numRef>
              <c:f>'v0.1_31July2020'!$D$4:$D$9</c:f>
              <c:numCache>
                <c:formatCode>General</c:formatCode>
                <c:ptCount val="6"/>
                <c:pt idx="2">
                  <c:v>1000</c:v>
                </c:pt>
                <c:pt idx="3">
                  <c:v>11000</c:v>
                </c:pt>
              </c:numCache>
            </c:numRef>
          </c:val>
          <c:extLst>
            <c:ext xmlns:c16="http://schemas.microsoft.com/office/drawing/2014/chart" uri="{C3380CC4-5D6E-409C-BE32-E72D297353CC}">
              <c16:uniqueId val="{00000001-899C-41B0-83BE-72943EFE30A7}"/>
            </c:ext>
          </c:extLst>
        </c:ser>
        <c:ser>
          <c:idx val="2"/>
          <c:order val="2"/>
          <c:tx>
            <c:strRef>
              <c:f>'v0.1_31July2020'!$E$3</c:f>
              <c:strCache>
                <c:ptCount val="1"/>
                <c:pt idx="0">
                  <c:v>Denmark</c:v>
                </c:pt>
              </c:strCache>
            </c:strRef>
          </c:tx>
          <c:spPr>
            <a:solidFill>
              <a:schemeClr val="accent5">
                <a:tint val="65000"/>
              </a:schemeClr>
            </a:solidFill>
            <a:ln>
              <a:noFill/>
            </a:ln>
            <a:effectLst/>
          </c:spPr>
          <c:invertIfNegative val="0"/>
          <c:cat>
            <c:numRef>
              <c:f>'v0.1_31July2020'!$B$4:$B$9</c:f>
              <c:numCache>
                <c:formatCode>General</c:formatCode>
                <c:ptCount val="6"/>
                <c:pt idx="0">
                  <c:v>2020</c:v>
                </c:pt>
                <c:pt idx="1">
                  <c:v>2030</c:v>
                </c:pt>
                <c:pt idx="2">
                  <c:v>2014</c:v>
                </c:pt>
                <c:pt idx="3">
                  <c:v>2030</c:v>
                </c:pt>
                <c:pt idx="4">
                  <c:v>2014</c:v>
                </c:pt>
                <c:pt idx="5">
                  <c:v>2030</c:v>
                </c:pt>
              </c:numCache>
            </c:numRef>
          </c:cat>
          <c:val>
            <c:numRef>
              <c:f>'v0.1_31July2020'!$E$4:$E$9</c:f>
              <c:numCache>
                <c:formatCode>General</c:formatCode>
                <c:ptCount val="6"/>
                <c:pt idx="4">
                  <c:v>4890</c:v>
                </c:pt>
                <c:pt idx="5">
                  <c:v>0</c:v>
                </c:pt>
              </c:numCache>
            </c:numRef>
          </c:val>
          <c:extLst>
            <c:ext xmlns:c16="http://schemas.microsoft.com/office/drawing/2014/chart" uri="{C3380CC4-5D6E-409C-BE32-E72D297353CC}">
              <c16:uniqueId val="{00000002-899C-41B0-83BE-72943EFE30A7}"/>
            </c:ext>
          </c:extLst>
        </c:ser>
        <c:dLbls>
          <c:showLegendKey val="0"/>
          <c:showVal val="0"/>
          <c:showCatName val="0"/>
          <c:showSerName val="0"/>
          <c:showPercent val="0"/>
          <c:showBubbleSize val="0"/>
        </c:dLbls>
        <c:gapWidth val="150"/>
        <c:overlap val="100"/>
        <c:axId val="290862112"/>
        <c:axId val="290864408"/>
      </c:barChart>
      <c:catAx>
        <c:axId val="290862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90864408"/>
        <c:crosses val="autoZero"/>
        <c:auto val="1"/>
        <c:lblAlgn val="ctr"/>
        <c:lblOffset val="100"/>
        <c:noMultiLvlLbl val="0"/>
      </c:catAx>
      <c:valAx>
        <c:axId val="2908644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u="none" strike="noStrike" baseline="0">
                    <a:effectLst/>
                  </a:rPr>
                  <a:t>Megawatts</a:t>
                </a:r>
                <a:endParaRPr lang="de-DE"/>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908621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olors1.xml><?xml version="1.0" encoding="utf-8"?>
<cs:colorStyle xmlns:cs="http://schemas.microsoft.com/office/drawing/2012/chartStyle" xmlns:a="http://schemas.openxmlformats.org/drawingml/2006/main" meth="withinLinear" id="18">
  <a:schemeClr val="accent5"/>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3C278A-8647-43C2-A5C8-3DA0669EF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5995</Words>
  <Characters>37775</Characters>
  <Application>Microsoft Office Word</Application>
  <DocSecurity>0</DocSecurity>
  <Lines>314</Lines>
  <Paragraphs>87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JB</dc:creator>
  <cp:lastModifiedBy>Soledad Luna</cp:lastModifiedBy>
  <cp:revision>4</cp:revision>
  <cp:lastPrinted>2020-05-27T07:59:00Z</cp:lastPrinted>
  <dcterms:created xsi:type="dcterms:W3CDTF">2020-07-31T11:41:00Z</dcterms:created>
  <dcterms:modified xsi:type="dcterms:W3CDTF">2020-07-31T12:18:00Z</dcterms:modified>
</cp:coreProperties>
</file>