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354E3D62"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AA0D7D">
        <w:rPr>
          <w:rFonts w:ascii="Arial" w:eastAsiaTheme="minorHAnsi" w:hAnsi="Arial" w:cs="Arial"/>
          <w:b/>
          <w:szCs w:val="36"/>
          <w:lang w:val="en-GB"/>
        </w:rPr>
        <w:t>2</w:t>
      </w:r>
      <w:r w:rsidRPr="001A5AB5">
        <w:rPr>
          <w:rFonts w:ascii="Arial" w:eastAsiaTheme="minorHAnsi" w:hAnsi="Arial" w:cs="Arial"/>
          <w:b/>
          <w:szCs w:val="36"/>
          <w:lang w:val="en-GB"/>
        </w:rPr>
        <w:t>-</w:t>
      </w:r>
      <w:r w:rsidR="00AA0D7D">
        <w:rPr>
          <w:rFonts w:ascii="Arial" w:eastAsiaTheme="minorHAnsi" w:hAnsi="Arial" w:cs="Arial"/>
          <w:b/>
          <w:szCs w:val="36"/>
          <w:lang w:val="en-GB"/>
        </w:rPr>
        <w:t>1</w:t>
      </w:r>
      <w:r w:rsidR="008561DC" w:rsidRPr="001A5AB5">
        <w:rPr>
          <w:rFonts w:ascii="Arial" w:eastAsiaTheme="minorHAnsi" w:hAnsi="Arial" w:cs="Arial"/>
          <w:b/>
          <w:szCs w:val="36"/>
          <w:lang w:val="en-GB"/>
        </w:rPr>
        <w:t xml:space="preserve">) </w:t>
      </w:r>
    </w:p>
    <w:p w14:paraId="27272E87" w14:textId="29D501DF" w:rsidR="008561DC" w:rsidRPr="00066FF5" w:rsidRDefault="0086425F"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1</w:t>
      </w:r>
      <w:r w:rsidR="00AA0D7D">
        <w:rPr>
          <w:rFonts w:ascii="Georgia" w:eastAsia="Batang" w:hAnsi="Georgia"/>
          <w:sz w:val="20"/>
          <w:szCs w:val="20"/>
          <w:lang w:val="en-GB" w:eastAsia="ko-KR"/>
        </w:rPr>
        <w:t>7</w:t>
      </w:r>
      <w:r w:rsidR="00DC6710" w:rsidRPr="00066FF5">
        <w:rPr>
          <w:rFonts w:ascii="Georgia" w:eastAsia="Batang" w:hAnsi="Georgia"/>
          <w:sz w:val="20"/>
          <w:szCs w:val="20"/>
          <w:lang w:val="en-GB" w:eastAsia="ko-KR"/>
        </w:rPr>
        <w:t xml:space="preserve"> </w:t>
      </w:r>
      <w:r w:rsidR="00AA0D7D">
        <w:rPr>
          <w:rFonts w:ascii="Georgia" w:eastAsia="Batang" w:hAnsi="Georgia"/>
          <w:sz w:val="20"/>
          <w:szCs w:val="20"/>
          <w:lang w:val="en-GB" w:eastAsia="ko-KR"/>
        </w:rPr>
        <w:t>January</w:t>
      </w:r>
      <w:r w:rsidR="00A77932" w:rsidRPr="00066FF5">
        <w:rPr>
          <w:rFonts w:ascii="Georgia" w:eastAsia="Batang" w:hAnsi="Georgia"/>
          <w:sz w:val="20"/>
          <w:szCs w:val="20"/>
          <w:lang w:val="en-GB" w:eastAsia="ko-KR"/>
        </w:rPr>
        <w:t xml:space="preserve"> </w:t>
      </w:r>
      <w:r w:rsidR="00DC6710" w:rsidRPr="00066FF5">
        <w:rPr>
          <w:rFonts w:ascii="Georgia" w:eastAsia="Batang" w:hAnsi="Georgia"/>
          <w:sz w:val="20"/>
          <w:szCs w:val="20"/>
          <w:lang w:val="en-GB" w:eastAsia="ko-KR"/>
        </w:rPr>
        <w:t>202</w:t>
      </w:r>
      <w:r w:rsidR="00AA0D7D">
        <w:rPr>
          <w:rFonts w:ascii="Georgia" w:eastAsia="Batang" w:hAnsi="Georgia"/>
          <w:sz w:val="20"/>
          <w:szCs w:val="20"/>
          <w:lang w:val="en-GB" w:eastAsia="ko-KR"/>
        </w:rPr>
        <w:t>2</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Online</w:t>
      </w:r>
      <w:r w:rsidR="00C22BCF" w:rsidRPr="00066FF5">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3778E15D"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9105F1">
        <w:rPr>
          <w:rFonts w:ascii="Georgia" w:hAnsi="Georgia"/>
          <w:b/>
          <w:sz w:val="20"/>
          <w:szCs w:val="22"/>
          <w:lang w:val="en-GB"/>
        </w:rPr>
        <w:t>5</w:t>
      </w:r>
      <w:r w:rsidR="00B91C82" w:rsidRPr="00B91C82">
        <w:rPr>
          <w:rFonts w:ascii="Georgia" w:hAnsi="Georgia"/>
          <w:b/>
          <w:sz w:val="20"/>
          <w:szCs w:val="22"/>
          <w:lang w:val="en-GB"/>
        </w:rPr>
        <w:t>.</w:t>
      </w:r>
      <w:r w:rsidR="00B91C82">
        <w:rPr>
          <w:rFonts w:ascii="Georgia" w:hAnsi="Georgia"/>
          <w:b/>
          <w:sz w:val="20"/>
          <w:szCs w:val="22"/>
          <w:lang w:val="en-GB"/>
        </w:rPr>
        <w:t xml:space="preserve"> </w:t>
      </w:r>
      <w:r w:rsidR="0048373D">
        <w:rPr>
          <w:rFonts w:ascii="Georgia" w:hAnsi="Georgia"/>
          <w:b/>
          <w:sz w:val="20"/>
          <w:szCs w:val="22"/>
          <w:lang w:val="en-GB"/>
        </w:rPr>
        <w:t>Renewable Energy</w:t>
      </w:r>
    </w:p>
    <w:p w14:paraId="449CCF2C" w14:textId="2AD25393"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E82D60">
        <w:rPr>
          <w:rFonts w:ascii="Georgia" w:hAnsi="Georgia"/>
          <w:b/>
          <w:sz w:val="20"/>
          <w:szCs w:val="22"/>
          <w:lang w:val="en-GB"/>
        </w:rPr>
        <w:t>Draft TOR ad hoc Working Group</w:t>
      </w:r>
    </w:p>
    <w:p w14:paraId="4EC4A14D" w14:textId="63C15AFB" w:rsidR="008561DC" w:rsidRPr="00E82D60"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AA0D7D">
        <w:rPr>
          <w:rFonts w:ascii="Georgia" w:hAnsi="Georgia"/>
          <w:sz w:val="20"/>
          <w:szCs w:val="22"/>
        </w:rPr>
        <w:t>2</w:t>
      </w:r>
      <w:r w:rsidR="00C71071" w:rsidRPr="00284DEF">
        <w:rPr>
          <w:rFonts w:ascii="Georgia" w:hAnsi="Georgia"/>
          <w:sz w:val="20"/>
          <w:szCs w:val="22"/>
        </w:rPr>
        <w:t>-</w:t>
      </w:r>
      <w:r w:rsidR="00AA0D7D">
        <w:rPr>
          <w:rFonts w:ascii="Georgia" w:hAnsi="Georgia"/>
          <w:sz w:val="20"/>
          <w:szCs w:val="22"/>
        </w:rPr>
        <w:t>1</w:t>
      </w:r>
      <w:r w:rsidRPr="00284DEF">
        <w:rPr>
          <w:rFonts w:ascii="Georgia" w:hAnsi="Georgia"/>
          <w:sz w:val="20"/>
          <w:szCs w:val="22"/>
        </w:rPr>
        <w:t>/</w:t>
      </w:r>
      <w:bookmarkEnd w:id="0"/>
      <w:r w:rsidR="009105F1">
        <w:rPr>
          <w:rFonts w:ascii="Georgia" w:hAnsi="Georgia"/>
          <w:sz w:val="20"/>
          <w:szCs w:val="22"/>
        </w:rPr>
        <w:t>5</w:t>
      </w:r>
    </w:p>
    <w:p w14:paraId="686CEA66" w14:textId="404C28FE" w:rsidR="008561DC" w:rsidRPr="00E82D60" w:rsidRDefault="008561DC" w:rsidP="008561DC">
      <w:pPr>
        <w:tabs>
          <w:tab w:val="left" w:pos="2160"/>
        </w:tabs>
        <w:spacing w:after="200" w:line="276" w:lineRule="auto"/>
        <w:rPr>
          <w:rFonts w:ascii="Georgia" w:hAnsi="Georgia"/>
          <w:b/>
          <w:sz w:val="20"/>
          <w:szCs w:val="22"/>
          <w:lang w:val="en-GB"/>
        </w:rPr>
      </w:pPr>
      <w:r w:rsidRPr="00E82D60">
        <w:rPr>
          <w:rFonts w:ascii="Georgia" w:hAnsi="Georgia"/>
          <w:b/>
          <w:sz w:val="20"/>
          <w:szCs w:val="22"/>
          <w:lang w:val="en-GB"/>
        </w:rPr>
        <w:t>Date:</w:t>
      </w:r>
      <w:r w:rsidRPr="00E82D60">
        <w:rPr>
          <w:rFonts w:ascii="Georgia" w:hAnsi="Georgia"/>
          <w:b/>
          <w:sz w:val="20"/>
          <w:szCs w:val="22"/>
          <w:lang w:val="en-GB"/>
        </w:rPr>
        <w:tab/>
      </w:r>
      <w:r w:rsidR="00E82D60" w:rsidRPr="00E82D60">
        <w:rPr>
          <w:rFonts w:ascii="Georgia" w:hAnsi="Georgia"/>
          <w:sz w:val="20"/>
          <w:szCs w:val="22"/>
          <w:lang w:val="en-GB"/>
        </w:rPr>
        <w:t>12 January 2022</w:t>
      </w:r>
    </w:p>
    <w:p w14:paraId="35694CAE" w14:textId="56DDD731"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AA0D7D">
        <w:rPr>
          <w:rFonts w:ascii="Georgia" w:hAnsi="Georgia"/>
          <w:b/>
          <w:sz w:val="20"/>
          <w:szCs w:val="22"/>
          <w:lang w:val="en-GB"/>
        </w:rPr>
        <w:t>Ad hoc working group ‘</w:t>
      </w:r>
      <w:r w:rsidR="00BE20C2">
        <w:rPr>
          <w:rFonts w:ascii="Georgia" w:hAnsi="Georgia"/>
          <w:b/>
          <w:sz w:val="20"/>
          <w:szCs w:val="22"/>
          <w:lang w:val="en-GB"/>
        </w:rPr>
        <w:t>C</w:t>
      </w:r>
      <w:r w:rsidR="00BC1A04">
        <w:rPr>
          <w:rFonts w:ascii="Georgia" w:hAnsi="Georgia"/>
          <w:b/>
          <w:sz w:val="20"/>
          <w:szCs w:val="22"/>
          <w:lang w:val="en-GB"/>
        </w:rPr>
        <w:t>ables and Pipelines</w:t>
      </w:r>
      <w:r w:rsidR="00AA0D7D">
        <w:rPr>
          <w:rFonts w:ascii="Georgia" w:hAnsi="Georgia"/>
          <w:b/>
          <w:sz w:val="20"/>
          <w:szCs w:val="22"/>
          <w:lang w:val="en-GB"/>
        </w:rPr>
        <w:t>’ (ad hoc WG-C</w:t>
      </w:r>
      <w:r w:rsidR="00BC1A04">
        <w:rPr>
          <w:rFonts w:ascii="Georgia" w:hAnsi="Georgia"/>
          <w:b/>
          <w:sz w:val="20"/>
          <w:szCs w:val="22"/>
          <w:lang w:val="en-GB"/>
        </w:rPr>
        <w:t>P</w:t>
      </w:r>
      <w:r w:rsidR="00AA0D7D">
        <w:rPr>
          <w:rFonts w:ascii="Georgia" w:hAnsi="Georgia"/>
          <w:b/>
          <w:sz w:val="20"/>
          <w:szCs w:val="22"/>
          <w:lang w:val="en-GB"/>
        </w:rPr>
        <w:t>)</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6A972D3" w14:textId="77777777" w:rsidR="009345B1" w:rsidRDefault="00AA0D7D" w:rsidP="009345B1">
      <w:pPr>
        <w:spacing w:line="276" w:lineRule="auto"/>
        <w:rPr>
          <w:rFonts w:ascii="Georgia" w:hAnsi="Georgia"/>
          <w:sz w:val="20"/>
          <w:szCs w:val="22"/>
          <w:lang w:val="en-GB"/>
        </w:rPr>
      </w:pPr>
      <w:r>
        <w:rPr>
          <w:rFonts w:ascii="Georgia" w:hAnsi="Georgia"/>
          <w:sz w:val="20"/>
          <w:szCs w:val="22"/>
          <w:lang w:val="en-GB"/>
        </w:rPr>
        <w:t xml:space="preserve">In the LD, para 29, the following was agreed: </w:t>
      </w:r>
      <w:r w:rsidRPr="00AA17CC">
        <w:rPr>
          <w:rFonts w:ascii="Georgia" w:hAnsi="Georgia"/>
          <w:i/>
          <w:iCs/>
          <w:sz w:val="20"/>
          <w:szCs w:val="22"/>
          <w:lang w:val="en-GB"/>
        </w:rPr>
        <w:t>“Instruct the Wadden Sea Board to review and monitor the impacts of renewable energy production and energy transportation on the Wadden Sea ecosystem and to consider measures to avoid or mitigate possible negative impacts by looking for best environmental practices also with the aim of developing, for example, related common principles to evaluate the impact of high-voltage power cables in the Wadden Sea Area in close consultation with the responsible bodies and stakeholders”.</w:t>
      </w:r>
      <w:r>
        <w:rPr>
          <w:rFonts w:ascii="Georgia" w:hAnsi="Georgia"/>
          <w:sz w:val="20"/>
          <w:szCs w:val="22"/>
          <w:lang w:val="en-GB"/>
        </w:rPr>
        <w:t xml:space="preserve"> </w:t>
      </w:r>
    </w:p>
    <w:p w14:paraId="0ABD2D4E" w14:textId="77777777" w:rsidR="000C37F5" w:rsidRDefault="006256B5" w:rsidP="009345B1">
      <w:pPr>
        <w:spacing w:line="276" w:lineRule="auto"/>
        <w:rPr>
          <w:rFonts w:ascii="Georgia" w:hAnsi="Georgia"/>
          <w:sz w:val="20"/>
          <w:szCs w:val="20"/>
          <w:lang w:val="en-GB"/>
        </w:rPr>
      </w:pPr>
      <w:r>
        <w:rPr>
          <w:rFonts w:ascii="Georgia" w:hAnsi="Georgia"/>
          <w:sz w:val="20"/>
          <w:szCs w:val="22"/>
          <w:lang w:val="en-GB"/>
        </w:rPr>
        <w:t>Some s</w:t>
      </w:r>
      <w:r w:rsidR="00AA0D7D">
        <w:rPr>
          <w:rFonts w:ascii="Georgia" w:hAnsi="Georgia"/>
          <w:sz w:val="20"/>
          <w:szCs w:val="22"/>
          <w:lang w:val="en-GB"/>
        </w:rPr>
        <w:t>teps</w:t>
      </w:r>
      <w:r w:rsidR="009345B1">
        <w:rPr>
          <w:rFonts w:ascii="Georgia" w:hAnsi="Georgia"/>
          <w:sz w:val="20"/>
          <w:szCs w:val="22"/>
          <w:lang w:val="en-GB"/>
        </w:rPr>
        <w:t xml:space="preserve"> to fulfil this task</w:t>
      </w:r>
      <w:r w:rsidR="00AA0D7D">
        <w:rPr>
          <w:rFonts w:ascii="Georgia" w:hAnsi="Georgia"/>
          <w:sz w:val="20"/>
          <w:szCs w:val="22"/>
          <w:lang w:val="en-GB"/>
        </w:rPr>
        <w:t xml:space="preserve"> have </w:t>
      </w:r>
      <w:r w:rsidR="00911E51">
        <w:rPr>
          <w:rFonts w:ascii="Georgia" w:hAnsi="Georgia"/>
          <w:sz w:val="20"/>
          <w:szCs w:val="22"/>
          <w:lang w:val="en-GB"/>
        </w:rPr>
        <w:t xml:space="preserve">already </w:t>
      </w:r>
      <w:r w:rsidR="00AA0D7D">
        <w:rPr>
          <w:rFonts w:ascii="Georgia" w:hAnsi="Georgia"/>
          <w:sz w:val="20"/>
          <w:szCs w:val="22"/>
          <w:lang w:val="en-GB"/>
        </w:rPr>
        <w:t xml:space="preserve">been taken since </w:t>
      </w:r>
      <w:r w:rsidR="006B41BB">
        <w:rPr>
          <w:rFonts w:ascii="Georgia" w:hAnsi="Georgia"/>
          <w:sz w:val="20"/>
          <w:szCs w:val="22"/>
          <w:lang w:val="en-GB"/>
        </w:rPr>
        <w:t xml:space="preserve">the TGC 2018: </w:t>
      </w:r>
      <w:r w:rsidR="00911E51">
        <w:rPr>
          <w:rFonts w:ascii="Georgia" w:hAnsi="Georgia"/>
          <w:sz w:val="20"/>
          <w:szCs w:val="22"/>
          <w:lang w:val="en-GB"/>
        </w:rPr>
        <w:t>R</w:t>
      </w:r>
      <w:r w:rsidR="006B41BB" w:rsidRPr="00911E51">
        <w:rPr>
          <w:rFonts w:ascii="Georgia" w:hAnsi="Georgia"/>
          <w:sz w:val="20"/>
          <w:szCs w:val="22"/>
          <w:lang w:val="en-GB"/>
        </w:rPr>
        <w:t xml:space="preserve">eview and monitoring </w:t>
      </w:r>
      <w:r w:rsidR="009345B1" w:rsidRPr="00911E51">
        <w:rPr>
          <w:rFonts w:ascii="Georgia" w:hAnsi="Georgia"/>
          <w:sz w:val="20"/>
          <w:szCs w:val="22"/>
          <w:lang w:val="en-GB"/>
        </w:rPr>
        <w:t>of impacts</w:t>
      </w:r>
      <w:r w:rsidR="006B41BB">
        <w:rPr>
          <w:rFonts w:ascii="Georgia" w:hAnsi="Georgia"/>
          <w:sz w:val="20"/>
          <w:szCs w:val="22"/>
          <w:lang w:val="en-GB"/>
        </w:rPr>
        <w:t xml:space="preserve"> </w:t>
      </w:r>
      <w:r w:rsidR="00EB49E9">
        <w:rPr>
          <w:rFonts w:ascii="Georgia" w:hAnsi="Georgia"/>
          <w:sz w:val="20"/>
          <w:szCs w:val="22"/>
          <w:lang w:val="en-GB"/>
        </w:rPr>
        <w:t xml:space="preserve">were addressed </w:t>
      </w:r>
      <w:r w:rsidR="006B41BB">
        <w:rPr>
          <w:rFonts w:ascii="Georgia" w:hAnsi="Georgia"/>
          <w:sz w:val="20"/>
          <w:szCs w:val="22"/>
          <w:lang w:val="en-GB"/>
        </w:rPr>
        <w:t xml:space="preserve">in the context of the drafting process for the single integrated management plan for the Wadden Sea World Heritage and </w:t>
      </w:r>
      <w:r w:rsidR="009345B1">
        <w:rPr>
          <w:rFonts w:ascii="Georgia" w:hAnsi="Georgia"/>
          <w:sz w:val="20"/>
          <w:szCs w:val="22"/>
          <w:lang w:val="en-GB"/>
        </w:rPr>
        <w:t>the</w:t>
      </w:r>
      <w:r w:rsidR="006B41BB">
        <w:rPr>
          <w:rFonts w:ascii="Georgia" w:hAnsi="Georgia"/>
          <w:sz w:val="20"/>
          <w:szCs w:val="22"/>
          <w:lang w:val="en-GB"/>
        </w:rPr>
        <w:t xml:space="preserve"> thematic report on energy in the framework of the Quality Status Report</w:t>
      </w:r>
      <w:r w:rsidR="009345B1">
        <w:rPr>
          <w:rFonts w:ascii="Georgia" w:hAnsi="Georgia"/>
          <w:sz w:val="20"/>
          <w:szCs w:val="22"/>
          <w:lang w:val="en-GB"/>
        </w:rPr>
        <w:t>, both currently nearing finalisation</w:t>
      </w:r>
      <w:r w:rsidR="00AA0D7D">
        <w:rPr>
          <w:rFonts w:ascii="Georgia" w:hAnsi="Georgia"/>
          <w:sz w:val="20"/>
          <w:szCs w:val="22"/>
          <w:lang w:val="en-GB"/>
        </w:rPr>
        <w:t>.</w:t>
      </w:r>
      <w:r>
        <w:rPr>
          <w:rFonts w:ascii="Georgia" w:hAnsi="Georgia"/>
          <w:sz w:val="20"/>
          <w:szCs w:val="22"/>
          <w:lang w:val="en-GB"/>
        </w:rPr>
        <w:t xml:space="preserve"> </w:t>
      </w:r>
      <w:r w:rsidR="00911E51">
        <w:rPr>
          <w:rFonts w:ascii="Georgia" w:hAnsi="Georgia"/>
          <w:sz w:val="20"/>
          <w:szCs w:val="20"/>
          <w:lang w:val="en-GB"/>
        </w:rPr>
        <w:t>C</w:t>
      </w:r>
      <w:r w:rsidR="006B41BB" w:rsidRPr="00911E51">
        <w:rPr>
          <w:rFonts w:ascii="Georgia" w:hAnsi="Georgia"/>
          <w:sz w:val="20"/>
          <w:szCs w:val="20"/>
          <w:lang w:val="en-GB"/>
        </w:rPr>
        <w:t>onsidering measures to avoid or mitigate possible negative impacts</w:t>
      </w:r>
      <w:r w:rsidR="00911E51">
        <w:rPr>
          <w:rFonts w:ascii="Georgia" w:hAnsi="Georgia"/>
          <w:sz w:val="20"/>
          <w:szCs w:val="20"/>
          <w:lang w:val="en-GB"/>
        </w:rPr>
        <w:t xml:space="preserve"> lies in</w:t>
      </w:r>
      <w:r w:rsidR="00EB49E9">
        <w:rPr>
          <w:rFonts w:ascii="Georgia" w:hAnsi="Georgia"/>
          <w:sz w:val="20"/>
          <w:szCs w:val="20"/>
          <w:lang w:val="en-GB"/>
        </w:rPr>
        <w:t xml:space="preserve"> trilateral</w:t>
      </w:r>
      <w:r w:rsidR="00911E51">
        <w:rPr>
          <w:rFonts w:ascii="Georgia" w:hAnsi="Georgia"/>
          <w:sz w:val="20"/>
          <w:szCs w:val="20"/>
          <w:lang w:val="en-GB"/>
        </w:rPr>
        <w:t xml:space="preserve"> conservation and sustainability interests</w:t>
      </w:r>
      <w:r w:rsidR="00EB49E9">
        <w:rPr>
          <w:rFonts w:ascii="Georgia" w:hAnsi="Georgia"/>
          <w:sz w:val="20"/>
          <w:szCs w:val="20"/>
          <w:lang w:val="en-GB"/>
        </w:rPr>
        <w:t xml:space="preserve"> and</w:t>
      </w:r>
      <w:r w:rsidR="00911E51">
        <w:rPr>
          <w:rFonts w:ascii="Georgia" w:hAnsi="Georgia"/>
          <w:sz w:val="20"/>
          <w:szCs w:val="20"/>
          <w:lang w:val="en-GB"/>
        </w:rPr>
        <w:t xml:space="preserve"> </w:t>
      </w:r>
      <w:r w:rsidR="00EB49E9">
        <w:rPr>
          <w:rFonts w:ascii="Georgia" w:hAnsi="Georgia"/>
          <w:sz w:val="20"/>
          <w:szCs w:val="20"/>
          <w:lang w:val="en-GB"/>
        </w:rPr>
        <w:t>is driven</w:t>
      </w:r>
      <w:r w:rsidR="00911E51">
        <w:rPr>
          <w:rFonts w:ascii="Georgia" w:hAnsi="Georgia"/>
          <w:sz w:val="20"/>
          <w:szCs w:val="20"/>
          <w:lang w:val="en-GB"/>
        </w:rPr>
        <w:t xml:space="preserve"> by current trends to speed and scale up </w:t>
      </w:r>
      <w:r w:rsidR="000C37F5">
        <w:rPr>
          <w:rFonts w:ascii="Georgia" w:hAnsi="Georgia"/>
          <w:sz w:val="20"/>
          <w:szCs w:val="20"/>
          <w:lang w:val="en-GB"/>
        </w:rPr>
        <w:t xml:space="preserve">strategic </w:t>
      </w:r>
      <w:r w:rsidR="00911E51">
        <w:rPr>
          <w:rFonts w:ascii="Georgia" w:hAnsi="Georgia"/>
          <w:sz w:val="20"/>
          <w:szCs w:val="20"/>
          <w:lang w:val="en-GB"/>
        </w:rPr>
        <w:t>energy transportation plans</w:t>
      </w:r>
      <w:r w:rsidR="000C37F5">
        <w:rPr>
          <w:rFonts w:ascii="Georgia" w:hAnsi="Georgia"/>
          <w:sz w:val="20"/>
          <w:szCs w:val="20"/>
          <w:lang w:val="en-GB"/>
        </w:rPr>
        <w:t xml:space="preserve"> and projects</w:t>
      </w:r>
      <w:r w:rsidR="00BC1A04">
        <w:rPr>
          <w:rFonts w:ascii="Georgia" w:hAnsi="Georgia"/>
          <w:sz w:val="20"/>
          <w:szCs w:val="20"/>
          <w:lang w:val="en-GB"/>
        </w:rPr>
        <w:t>.</w:t>
      </w:r>
      <w:r w:rsidR="00911E51" w:rsidRPr="009345B1">
        <w:rPr>
          <w:rFonts w:ascii="Georgia" w:hAnsi="Georgia"/>
          <w:sz w:val="20"/>
          <w:szCs w:val="20"/>
          <w:lang w:val="en-GB"/>
        </w:rPr>
        <w:t xml:space="preserve"> </w:t>
      </w:r>
      <w:r w:rsidR="003F3E1A">
        <w:rPr>
          <w:rFonts w:ascii="Georgia" w:hAnsi="Georgia"/>
          <w:sz w:val="20"/>
          <w:szCs w:val="22"/>
          <w:lang w:val="en-GB"/>
        </w:rPr>
        <w:t xml:space="preserve">What is mainly </w:t>
      </w:r>
      <w:r w:rsidR="003F3E1A" w:rsidRPr="009345B1">
        <w:rPr>
          <w:rFonts w:ascii="Georgia" w:hAnsi="Georgia"/>
          <w:sz w:val="20"/>
          <w:szCs w:val="20"/>
          <w:lang w:val="en-GB"/>
        </w:rPr>
        <w:t>lacking</w:t>
      </w:r>
      <w:r w:rsidR="003F3E1A">
        <w:rPr>
          <w:rFonts w:ascii="Georgia" w:hAnsi="Georgia"/>
          <w:sz w:val="20"/>
          <w:szCs w:val="20"/>
          <w:lang w:val="en-GB"/>
        </w:rPr>
        <w:t xml:space="preserve"> in this respect</w:t>
      </w:r>
      <w:r w:rsidR="003F3E1A" w:rsidRPr="009345B1">
        <w:rPr>
          <w:rFonts w:ascii="Georgia" w:hAnsi="Georgia"/>
          <w:sz w:val="20"/>
          <w:szCs w:val="20"/>
          <w:lang w:val="en-GB"/>
        </w:rPr>
        <w:t xml:space="preserve">, is </w:t>
      </w:r>
      <w:r w:rsidR="003F3E1A">
        <w:rPr>
          <w:rFonts w:ascii="Georgia" w:hAnsi="Georgia"/>
          <w:sz w:val="20"/>
          <w:szCs w:val="20"/>
          <w:lang w:val="en-GB"/>
        </w:rPr>
        <w:t xml:space="preserve">a more in-depth trilateral focus and exchange on future high voltage power grid and pipeline crossings of the </w:t>
      </w:r>
      <w:proofErr w:type="spellStart"/>
      <w:r w:rsidR="003F3E1A">
        <w:rPr>
          <w:rFonts w:ascii="Georgia" w:hAnsi="Georgia"/>
          <w:sz w:val="20"/>
          <w:szCs w:val="20"/>
          <w:lang w:val="en-GB"/>
        </w:rPr>
        <w:t>Wadden</w:t>
      </w:r>
      <w:proofErr w:type="spellEnd"/>
      <w:r w:rsidR="003F3E1A">
        <w:rPr>
          <w:rFonts w:ascii="Georgia" w:hAnsi="Georgia"/>
          <w:sz w:val="20"/>
          <w:szCs w:val="20"/>
          <w:lang w:val="en-GB"/>
        </w:rPr>
        <w:t xml:space="preserve"> Sea. </w:t>
      </w:r>
    </w:p>
    <w:p w14:paraId="6D36D3B6" w14:textId="0988498C" w:rsidR="009345B1" w:rsidRDefault="006B41BB" w:rsidP="009345B1">
      <w:pPr>
        <w:spacing w:line="276" w:lineRule="auto"/>
        <w:rPr>
          <w:rFonts w:ascii="Georgia" w:hAnsi="Georgia"/>
          <w:sz w:val="20"/>
          <w:szCs w:val="20"/>
          <w:lang w:val="en-GB"/>
        </w:rPr>
      </w:pPr>
      <w:r w:rsidRPr="009345B1">
        <w:rPr>
          <w:rFonts w:ascii="Georgia" w:hAnsi="Georgia"/>
          <w:sz w:val="20"/>
          <w:szCs w:val="20"/>
          <w:lang w:val="en-GB"/>
        </w:rPr>
        <w:t xml:space="preserve">Given the urgency to fulfil this request from the ministers </w:t>
      </w:r>
      <w:r w:rsidR="009345B1">
        <w:rPr>
          <w:rFonts w:ascii="Georgia" w:hAnsi="Georgia"/>
          <w:sz w:val="20"/>
          <w:szCs w:val="20"/>
          <w:lang w:val="en-GB"/>
        </w:rPr>
        <w:t xml:space="preserve">within </w:t>
      </w:r>
      <w:r w:rsidRPr="009345B1">
        <w:rPr>
          <w:rFonts w:ascii="Georgia" w:hAnsi="Georgia"/>
          <w:sz w:val="20"/>
          <w:szCs w:val="20"/>
          <w:lang w:val="en-GB"/>
        </w:rPr>
        <w:t>less than one year</w:t>
      </w:r>
      <w:r w:rsidR="009345B1">
        <w:rPr>
          <w:rFonts w:ascii="Georgia" w:hAnsi="Georgia"/>
          <w:sz w:val="20"/>
          <w:szCs w:val="20"/>
          <w:lang w:val="en-GB"/>
        </w:rPr>
        <w:t xml:space="preserve"> left</w:t>
      </w:r>
      <w:r w:rsidRPr="009345B1">
        <w:rPr>
          <w:rFonts w:ascii="Georgia" w:hAnsi="Georgia"/>
          <w:sz w:val="20"/>
          <w:szCs w:val="20"/>
          <w:lang w:val="en-GB"/>
        </w:rPr>
        <w:t xml:space="preserve"> to the next TGC by the end of 2022</w:t>
      </w:r>
      <w:r w:rsidR="006256B5">
        <w:rPr>
          <w:rFonts w:ascii="Georgia" w:hAnsi="Georgia"/>
          <w:sz w:val="20"/>
          <w:szCs w:val="20"/>
          <w:lang w:val="en-GB"/>
        </w:rPr>
        <w:t xml:space="preserve">, </w:t>
      </w:r>
      <w:r w:rsidRPr="009345B1">
        <w:rPr>
          <w:rFonts w:ascii="Georgia" w:hAnsi="Georgia"/>
          <w:sz w:val="20"/>
          <w:szCs w:val="20"/>
          <w:lang w:val="en-GB"/>
        </w:rPr>
        <w:t>TG-M 21-5</w:t>
      </w:r>
      <w:r w:rsidR="00DB414D" w:rsidRPr="009345B1">
        <w:rPr>
          <w:rFonts w:ascii="Georgia" w:hAnsi="Georgia"/>
          <w:sz w:val="20"/>
          <w:szCs w:val="20"/>
          <w:lang w:val="en-GB"/>
        </w:rPr>
        <w:t xml:space="preserve"> (17.12.2021)</w:t>
      </w:r>
      <w:r w:rsidRPr="009345B1">
        <w:rPr>
          <w:rFonts w:ascii="Georgia" w:hAnsi="Georgia"/>
          <w:sz w:val="20"/>
          <w:szCs w:val="20"/>
          <w:lang w:val="en-GB"/>
        </w:rPr>
        <w:t xml:space="preserve"> decided upon a written proposal from group members</w:t>
      </w:r>
      <w:r w:rsidR="006256B5">
        <w:rPr>
          <w:rFonts w:ascii="Georgia" w:hAnsi="Georgia"/>
          <w:sz w:val="20"/>
          <w:szCs w:val="20"/>
          <w:lang w:val="en-GB"/>
        </w:rPr>
        <w:t xml:space="preserve"> from NL and </w:t>
      </w:r>
      <w:r w:rsidR="00E82D60">
        <w:rPr>
          <w:rFonts w:ascii="Georgia" w:hAnsi="Georgia"/>
          <w:sz w:val="20"/>
          <w:szCs w:val="20"/>
          <w:lang w:val="en-GB"/>
        </w:rPr>
        <w:t>D</w:t>
      </w:r>
      <w:r w:rsidR="006256B5">
        <w:rPr>
          <w:rFonts w:ascii="Georgia" w:hAnsi="Georgia"/>
          <w:sz w:val="20"/>
          <w:szCs w:val="20"/>
          <w:lang w:val="en-GB"/>
        </w:rPr>
        <w:t>E</w:t>
      </w:r>
      <w:r w:rsidRPr="009345B1">
        <w:rPr>
          <w:rFonts w:ascii="Georgia" w:hAnsi="Georgia"/>
          <w:sz w:val="20"/>
          <w:szCs w:val="20"/>
          <w:lang w:val="en-GB"/>
        </w:rPr>
        <w:t xml:space="preserve"> to install an ad hoc working group under TG-M to tackle th</w:t>
      </w:r>
      <w:r w:rsidR="00911E51">
        <w:rPr>
          <w:rFonts w:ascii="Georgia" w:hAnsi="Georgia"/>
          <w:sz w:val="20"/>
          <w:szCs w:val="20"/>
          <w:lang w:val="en-GB"/>
        </w:rPr>
        <w:t>e</w:t>
      </w:r>
      <w:r w:rsidR="00BC1A04">
        <w:rPr>
          <w:rFonts w:ascii="Georgia" w:hAnsi="Georgia"/>
          <w:sz w:val="20"/>
          <w:szCs w:val="20"/>
          <w:lang w:val="en-GB"/>
        </w:rPr>
        <w:t>se</w:t>
      </w:r>
      <w:r w:rsidRPr="009345B1">
        <w:rPr>
          <w:rFonts w:ascii="Georgia" w:hAnsi="Georgia"/>
          <w:sz w:val="20"/>
          <w:szCs w:val="20"/>
          <w:lang w:val="en-GB"/>
        </w:rPr>
        <w:t xml:space="preserve"> implementation deficit</w:t>
      </w:r>
      <w:r w:rsidR="00911E51">
        <w:rPr>
          <w:rFonts w:ascii="Georgia" w:hAnsi="Georgia"/>
          <w:sz w:val="20"/>
          <w:szCs w:val="20"/>
          <w:lang w:val="en-GB"/>
        </w:rPr>
        <w:t>s</w:t>
      </w:r>
      <w:r w:rsidR="00BC1A04">
        <w:rPr>
          <w:rFonts w:ascii="Georgia" w:hAnsi="Georgia"/>
          <w:sz w:val="20"/>
          <w:szCs w:val="20"/>
          <w:lang w:val="en-GB"/>
        </w:rPr>
        <w:t xml:space="preserve"> of the LD</w:t>
      </w:r>
      <w:r w:rsidRPr="009345B1">
        <w:rPr>
          <w:rFonts w:ascii="Georgia" w:hAnsi="Georgia"/>
          <w:sz w:val="20"/>
          <w:szCs w:val="20"/>
          <w:lang w:val="en-GB"/>
        </w:rPr>
        <w:t xml:space="preserve"> as far </w:t>
      </w:r>
      <w:r w:rsidR="00DB414D" w:rsidRPr="009345B1">
        <w:rPr>
          <w:rFonts w:ascii="Georgia" w:hAnsi="Georgia"/>
          <w:sz w:val="20"/>
          <w:szCs w:val="20"/>
          <w:lang w:val="en-GB"/>
        </w:rPr>
        <w:t xml:space="preserve">and pragmatic </w:t>
      </w:r>
      <w:r w:rsidRPr="009345B1">
        <w:rPr>
          <w:rFonts w:ascii="Georgia" w:hAnsi="Georgia"/>
          <w:sz w:val="20"/>
          <w:szCs w:val="20"/>
          <w:lang w:val="en-GB"/>
        </w:rPr>
        <w:t xml:space="preserve">as possible. </w:t>
      </w:r>
      <w:r w:rsidR="00DD3E5D">
        <w:rPr>
          <w:rFonts w:ascii="Georgia" w:hAnsi="Georgia"/>
          <w:sz w:val="20"/>
          <w:szCs w:val="20"/>
          <w:lang w:val="en-GB"/>
        </w:rPr>
        <w:t>In the TG-M 21-5 proposal, a background description of the trilateral challenges is given. Now, d</w:t>
      </w:r>
      <w:r w:rsidR="00DB414D" w:rsidRPr="009345B1">
        <w:rPr>
          <w:rFonts w:ascii="Georgia" w:hAnsi="Georgia"/>
          <w:sz w:val="20"/>
          <w:szCs w:val="20"/>
          <w:lang w:val="en-GB"/>
        </w:rPr>
        <w:t>raft t</w:t>
      </w:r>
      <w:r w:rsidRPr="009345B1">
        <w:rPr>
          <w:rFonts w:ascii="Georgia" w:hAnsi="Georgia"/>
          <w:sz w:val="20"/>
          <w:szCs w:val="20"/>
          <w:lang w:val="en-GB"/>
        </w:rPr>
        <w:t xml:space="preserve">erms </w:t>
      </w:r>
      <w:r w:rsidR="00DB414D" w:rsidRPr="009345B1">
        <w:rPr>
          <w:rFonts w:ascii="Georgia" w:hAnsi="Georgia"/>
          <w:sz w:val="20"/>
          <w:szCs w:val="20"/>
          <w:lang w:val="en-GB"/>
        </w:rPr>
        <w:t xml:space="preserve">of reference incl. membership for this ad hoc group are herewith suggested to the TG-M 22-1 meeting (17.01.2022). </w:t>
      </w:r>
    </w:p>
    <w:p w14:paraId="0B79E43E" w14:textId="7EB7C672" w:rsidR="006B41BB" w:rsidRPr="009345B1" w:rsidRDefault="00DB414D" w:rsidP="009345B1">
      <w:pPr>
        <w:spacing w:line="276" w:lineRule="auto"/>
        <w:rPr>
          <w:rFonts w:ascii="Georgia" w:hAnsi="Georgia"/>
          <w:sz w:val="20"/>
          <w:szCs w:val="20"/>
          <w:lang w:val="en-GB"/>
        </w:rPr>
      </w:pPr>
      <w:r w:rsidRPr="009345B1">
        <w:rPr>
          <w:rFonts w:ascii="Georgia" w:hAnsi="Georgia"/>
          <w:sz w:val="20"/>
          <w:szCs w:val="20"/>
          <w:lang w:val="en-GB"/>
        </w:rPr>
        <w:t>It is reminded, that ad hoc groups do not have the same requirements and status as other formal working groups</w:t>
      </w:r>
      <w:r w:rsidR="00DD3E5D">
        <w:rPr>
          <w:rFonts w:ascii="Georgia" w:hAnsi="Georgia"/>
          <w:sz w:val="20"/>
          <w:szCs w:val="20"/>
          <w:lang w:val="en-GB"/>
        </w:rPr>
        <w:t xml:space="preserve"> (TGs, EGs, NGs)</w:t>
      </w:r>
      <w:r w:rsidRPr="009345B1">
        <w:rPr>
          <w:rFonts w:ascii="Georgia" w:hAnsi="Georgia"/>
          <w:sz w:val="20"/>
          <w:szCs w:val="20"/>
          <w:lang w:val="en-GB"/>
        </w:rPr>
        <w:t>, see</w:t>
      </w:r>
      <w:r w:rsidR="009345B1" w:rsidRPr="009345B1">
        <w:rPr>
          <w:rFonts w:ascii="Georgia" w:hAnsi="Georgia"/>
          <w:sz w:val="20"/>
          <w:szCs w:val="20"/>
          <w:lang w:val="en-GB"/>
        </w:rPr>
        <w:t xml:space="preserve"> doc.</w:t>
      </w:r>
      <w:r w:rsidRPr="009345B1">
        <w:rPr>
          <w:rFonts w:ascii="Georgia" w:hAnsi="Georgia"/>
          <w:sz w:val="20"/>
          <w:szCs w:val="20"/>
          <w:lang w:val="en-GB"/>
        </w:rPr>
        <w:t xml:space="preserve"> </w:t>
      </w:r>
      <w:r w:rsidR="009345B1" w:rsidRPr="009345B1">
        <w:rPr>
          <w:rFonts w:ascii="Georgia" w:hAnsi="Georgia"/>
          <w:sz w:val="20"/>
          <w:szCs w:val="20"/>
          <w:lang w:val="en-GB"/>
        </w:rPr>
        <w:t>WSB-28-7-1-1, p. 2:</w:t>
      </w:r>
      <w:r w:rsidR="006256B5">
        <w:rPr>
          <w:rFonts w:ascii="Georgia" w:hAnsi="Georgia"/>
          <w:sz w:val="20"/>
          <w:szCs w:val="20"/>
          <w:lang w:val="en-GB"/>
        </w:rPr>
        <w:t xml:space="preserve"> </w:t>
      </w:r>
      <w:r w:rsidR="009345B1" w:rsidRPr="009345B1">
        <w:rPr>
          <w:rFonts w:ascii="Georgia" w:hAnsi="Georgia"/>
          <w:sz w:val="20"/>
          <w:szCs w:val="20"/>
        </w:rPr>
        <w:t>(ad hoc) Working Groups are installed by TGs for elaborating on a certain aspect of issues targeted in the corresponding TG. WGs report to the TGs; are chaired by CWSS staff or group member; are temporary.</w:t>
      </w:r>
    </w:p>
    <w:p w14:paraId="5EC8625A" w14:textId="77777777" w:rsidR="006256B5" w:rsidRPr="00911E51" w:rsidRDefault="006256B5" w:rsidP="00F501BA">
      <w:pPr>
        <w:spacing w:after="120" w:line="276" w:lineRule="auto"/>
        <w:rPr>
          <w:rFonts w:ascii="Georgia" w:hAnsi="Georgia"/>
          <w:sz w:val="20"/>
          <w:szCs w:val="20"/>
          <w:lang w:val="en-GB" w:eastAsia="de-DE"/>
        </w:rPr>
      </w:pPr>
    </w:p>
    <w:p w14:paraId="6DE645A7" w14:textId="0507B360" w:rsidR="004C489A" w:rsidRPr="00911E51" w:rsidRDefault="008561DC" w:rsidP="00F501BA">
      <w:pPr>
        <w:spacing w:after="120" w:line="276" w:lineRule="auto"/>
        <w:rPr>
          <w:rFonts w:ascii="Georgia" w:hAnsi="Georgia"/>
          <w:sz w:val="20"/>
          <w:szCs w:val="20"/>
          <w:lang w:val="en-GB"/>
        </w:rPr>
      </w:pPr>
      <w:r w:rsidRPr="00911E51">
        <w:rPr>
          <w:rFonts w:ascii="Georgia" w:hAnsi="Georgia"/>
          <w:b/>
          <w:bCs/>
          <w:sz w:val="20"/>
          <w:szCs w:val="20"/>
          <w:lang w:val="en-GB"/>
        </w:rPr>
        <w:t>Proposal:</w:t>
      </w:r>
      <w:r w:rsidRPr="00911E51">
        <w:rPr>
          <w:rFonts w:ascii="Georgia" w:hAnsi="Georgia"/>
          <w:b/>
          <w:bCs/>
          <w:sz w:val="20"/>
          <w:szCs w:val="20"/>
          <w:lang w:val="en-GB"/>
        </w:rPr>
        <w:tab/>
      </w:r>
      <w:r w:rsidR="00CD0E61" w:rsidRPr="00911E51">
        <w:rPr>
          <w:rFonts w:ascii="Georgia" w:hAnsi="Georgia"/>
          <w:sz w:val="20"/>
          <w:szCs w:val="20"/>
          <w:lang w:val="en-GB"/>
        </w:rPr>
        <w:t>The group</w:t>
      </w:r>
      <w:r w:rsidRPr="00911E51">
        <w:rPr>
          <w:rFonts w:ascii="Georgia" w:hAnsi="Georgia"/>
          <w:sz w:val="20"/>
          <w:szCs w:val="20"/>
          <w:lang w:val="en-GB"/>
        </w:rPr>
        <w:t xml:space="preserve"> is invited to</w:t>
      </w:r>
      <w:r w:rsidR="007A6FA2" w:rsidRPr="00911E51">
        <w:rPr>
          <w:rFonts w:ascii="Georgia" w:hAnsi="Georgia"/>
          <w:sz w:val="20"/>
          <w:szCs w:val="20"/>
          <w:lang w:val="en-GB"/>
        </w:rPr>
        <w:t xml:space="preserve"> </w:t>
      </w:r>
      <w:r w:rsidR="00D74D7F" w:rsidRPr="00911E51">
        <w:rPr>
          <w:rFonts w:ascii="Georgia" w:hAnsi="Georgia"/>
          <w:sz w:val="20"/>
          <w:szCs w:val="20"/>
          <w:lang w:val="en-GB"/>
        </w:rPr>
        <w:t xml:space="preserve">agree on the </w:t>
      </w:r>
      <w:r w:rsidR="00DB414D" w:rsidRPr="00911E51">
        <w:rPr>
          <w:rFonts w:ascii="Georgia" w:hAnsi="Georgia"/>
          <w:sz w:val="20"/>
          <w:szCs w:val="20"/>
          <w:lang w:val="en-GB"/>
        </w:rPr>
        <w:t>draft terms of reference</w:t>
      </w:r>
      <w:r w:rsidR="009345B1" w:rsidRPr="00911E51">
        <w:rPr>
          <w:rFonts w:ascii="Georgia" w:hAnsi="Georgia"/>
          <w:sz w:val="20"/>
          <w:szCs w:val="20"/>
          <w:lang w:val="en-GB"/>
        </w:rPr>
        <w:t>, select a chair to the group and to name members</w:t>
      </w:r>
      <w:r w:rsidR="00911E51" w:rsidRPr="00911E51">
        <w:rPr>
          <w:rFonts w:ascii="Georgia" w:hAnsi="Georgia"/>
          <w:sz w:val="20"/>
          <w:szCs w:val="20"/>
          <w:lang w:val="en-GB"/>
        </w:rPr>
        <w:t xml:space="preserve"> to the group</w:t>
      </w:r>
      <w:r w:rsidR="00DB414D" w:rsidRPr="00911E51">
        <w:rPr>
          <w:rFonts w:ascii="Georgia" w:hAnsi="Georgia"/>
          <w:sz w:val="20"/>
          <w:szCs w:val="20"/>
          <w:lang w:val="en-GB"/>
        </w:rPr>
        <w:t>.</w:t>
      </w:r>
      <w:r w:rsidR="009345B1" w:rsidRPr="00911E51">
        <w:rPr>
          <w:rFonts w:ascii="Georgia" w:hAnsi="Georgia"/>
          <w:sz w:val="20"/>
          <w:szCs w:val="20"/>
          <w:lang w:val="en-GB"/>
        </w:rPr>
        <w:t xml:space="preserve"> </w:t>
      </w:r>
    </w:p>
    <w:p w14:paraId="026905BC" w14:textId="79F03F35"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4D9E0DCD" w14:textId="41F40282" w:rsidR="00D74D7F" w:rsidRPr="00803C5D" w:rsidRDefault="00803C5D" w:rsidP="00803C5D">
      <w:pPr>
        <w:spacing w:after="120" w:line="276" w:lineRule="auto"/>
        <w:jc w:val="center"/>
        <w:rPr>
          <w:rFonts w:ascii="Arial" w:hAnsi="Arial" w:cs="Arial"/>
          <w:b/>
          <w:sz w:val="28"/>
          <w:szCs w:val="28"/>
          <w:lang w:val="en-GB"/>
        </w:rPr>
      </w:pPr>
      <w:bookmarkStart w:id="1" w:name="_Hlk34231456"/>
      <w:r w:rsidRPr="00803C5D">
        <w:rPr>
          <w:rFonts w:ascii="Arial" w:hAnsi="Arial" w:cs="Arial"/>
          <w:b/>
          <w:sz w:val="28"/>
          <w:szCs w:val="28"/>
          <w:lang w:val="en-GB"/>
        </w:rPr>
        <w:lastRenderedPageBreak/>
        <w:t>Ad hoc working group “Cables and Pipelines” (ad hoc WG-CP)</w:t>
      </w:r>
    </w:p>
    <w:p w14:paraId="6C22F74F" w14:textId="236A3AB1" w:rsidR="00803C5D" w:rsidRPr="00803C5D" w:rsidRDefault="00803C5D" w:rsidP="00803C5D">
      <w:pPr>
        <w:spacing w:after="120" w:line="276" w:lineRule="auto"/>
        <w:jc w:val="center"/>
        <w:rPr>
          <w:rFonts w:ascii="Arial" w:hAnsi="Arial" w:cs="Arial"/>
          <w:b/>
          <w:sz w:val="28"/>
          <w:szCs w:val="28"/>
          <w:lang w:val="en-GB"/>
        </w:rPr>
      </w:pPr>
      <w:r w:rsidRPr="00803C5D">
        <w:rPr>
          <w:rFonts w:ascii="Arial" w:hAnsi="Arial" w:cs="Arial"/>
          <w:b/>
          <w:sz w:val="28"/>
          <w:szCs w:val="28"/>
          <w:lang w:val="en-GB"/>
        </w:rPr>
        <w:t>Draft Terms of Reference</w:t>
      </w:r>
    </w:p>
    <w:p w14:paraId="43843DC0" w14:textId="77777777" w:rsidR="00D74D7F" w:rsidRDefault="00D74D7F" w:rsidP="00D74D7F">
      <w:pPr>
        <w:rPr>
          <w:rFonts w:ascii="Georgia" w:hAnsi="Georgia" w:cstheme="minorHAnsi"/>
          <w:sz w:val="20"/>
          <w:szCs w:val="20"/>
        </w:rPr>
      </w:pPr>
    </w:p>
    <w:p w14:paraId="4341C524" w14:textId="2F46B2FF" w:rsidR="00D74D7F" w:rsidRPr="00803C5D" w:rsidRDefault="00803C5D" w:rsidP="00D74D7F">
      <w:pPr>
        <w:pStyle w:val="Heading1"/>
        <w:rPr>
          <w:b/>
          <w:sz w:val="24"/>
          <w:szCs w:val="24"/>
        </w:rPr>
      </w:pPr>
      <w:r w:rsidRPr="00803C5D">
        <w:rPr>
          <w:rFonts w:eastAsiaTheme="majorEastAsia"/>
          <w:b/>
          <w:sz w:val="24"/>
          <w:szCs w:val="24"/>
        </w:rPr>
        <w:t>Background</w:t>
      </w:r>
      <w:r w:rsidR="00D74D7F" w:rsidRPr="00803C5D">
        <w:rPr>
          <w:b/>
          <w:sz w:val="24"/>
          <w:szCs w:val="24"/>
        </w:rPr>
        <w:t xml:space="preserve"> </w:t>
      </w:r>
    </w:p>
    <w:bookmarkEnd w:id="1"/>
    <w:p w14:paraId="1290524F" w14:textId="6B3DAA61" w:rsidR="008C5F39" w:rsidRDefault="008C5F39" w:rsidP="004A476D">
      <w:pPr>
        <w:spacing w:line="276" w:lineRule="auto"/>
        <w:rPr>
          <w:rFonts w:ascii="Georgia" w:hAnsi="Georgia"/>
          <w:sz w:val="20"/>
          <w:szCs w:val="22"/>
          <w:lang w:val="en-GB"/>
        </w:rPr>
      </w:pPr>
      <w:r w:rsidRPr="008C5F39">
        <w:rPr>
          <w:rFonts w:ascii="Georgia" w:hAnsi="Georgia"/>
          <w:sz w:val="20"/>
          <w:szCs w:val="22"/>
          <w:lang w:val="en-GB"/>
        </w:rPr>
        <w:t>Due to its geographical location in the southern North Sea between the areas</w:t>
      </w:r>
      <w:r w:rsidR="001D3D3C">
        <w:rPr>
          <w:rFonts w:ascii="Georgia" w:hAnsi="Georgia"/>
          <w:sz w:val="20"/>
          <w:szCs w:val="22"/>
          <w:lang w:val="en-GB"/>
        </w:rPr>
        <w:t xml:space="preserve"> of </w:t>
      </w:r>
      <w:r w:rsidR="00D70250">
        <w:rPr>
          <w:rFonts w:ascii="Georgia" w:hAnsi="Georgia"/>
          <w:sz w:val="20"/>
          <w:szCs w:val="22"/>
          <w:lang w:val="en-GB"/>
        </w:rPr>
        <w:t xml:space="preserve">offshore </w:t>
      </w:r>
      <w:r w:rsidR="001D3D3C">
        <w:rPr>
          <w:rFonts w:ascii="Georgia" w:hAnsi="Georgia"/>
          <w:sz w:val="20"/>
          <w:szCs w:val="22"/>
          <w:lang w:val="en-GB"/>
        </w:rPr>
        <w:t>renewable energy</w:t>
      </w:r>
      <w:r w:rsidRPr="008C5F39">
        <w:rPr>
          <w:rFonts w:ascii="Georgia" w:hAnsi="Georgia"/>
          <w:sz w:val="20"/>
          <w:szCs w:val="22"/>
          <w:lang w:val="en-GB"/>
        </w:rPr>
        <w:t xml:space="preserve"> </w:t>
      </w:r>
      <w:r w:rsidR="00D70250">
        <w:rPr>
          <w:rFonts w:ascii="Georgia" w:hAnsi="Georgia"/>
          <w:sz w:val="20"/>
          <w:szCs w:val="22"/>
          <w:lang w:val="en-GB"/>
        </w:rPr>
        <w:t xml:space="preserve">production </w:t>
      </w:r>
      <w:r w:rsidRPr="008C5F39">
        <w:rPr>
          <w:rFonts w:ascii="Georgia" w:hAnsi="Georgia"/>
          <w:sz w:val="20"/>
          <w:szCs w:val="22"/>
          <w:lang w:val="en-GB"/>
        </w:rPr>
        <w:t xml:space="preserve">and the </w:t>
      </w:r>
      <w:r w:rsidR="00B620B3">
        <w:rPr>
          <w:rFonts w:ascii="Georgia" w:hAnsi="Georgia"/>
          <w:sz w:val="20"/>
          <w:szCs w:val="22"/>
          <w:lang w:val="en-GB"/>
        </w:rPr>
        <w:t xml:space="preserve">main </w:t>
      </w:r>
      <w:r w:rsidRPr="008C5F39">
        <w:rPr>
          <w:rFonts w:ascii="Georgia" w:hAnsi="Georgia"/>
          <w:sz w:val="20"/>
          <w:szCs w:val="22"/>
          <w:lang w:val="en-GB"/>
        </w:rPr>
        <w:t xml:space="preserve">consumption centres in the inland, the </w:t>
      </w:r>
      <w:r w:rsidR="0032788A">
        <w:rPr>
          <w:rFonts w:ascii="Georgia" w:hAnsi="Georgia"/>
          <w:sz w:val="20"/>
          <w:szCs w:val="22"/>
          <w:lang w:val="en-GB"/>
        </w:rPr>
        <w:t xml:space="preserve">trilateral </w:t>
      </w:r>
      <w:r w:rsidRPr="008C5F39">
        <w:rPr>
          <w:rFonts w:ascii="Georgia" w:hAnsi="Georgia"/>
          <w:sz w:val="20"/>
          <w:szCs w:val="22"/>
          <w:lang w:val="en-GB"/>
        </w:rPr>
        <w:t>Wadden Sea</w:t>
      </w:r>
      <w:r w:rsidR="00EB49E9">
        <w:rPr>
          <w:rFonts w:ascii="Georgia" w:hAnsi="Georgia"/>
          <w:sz w:val="20"/>
          <w:szCs w:val="22"/>
          <w:lang w:val="en-GB"/>
        </w:rPr>
        <w:t xml:space="preserve"> Cooperation Area</w:t>
      </w:r>
      <w:r w:rsidRPr="008C5F39">
        <w:rPr>
          <w:rFonts w:ascii="Georgia" w:hAnsi="Georgia"/>
          <w:sz w:val="20"/>
          <w:szCs w:val="22"/>
          <w:lang w:val="en-GB"/>
        </w:rPr>
        <w:t xml:space="preserve"> is a crossing</w:t>
      </w:r>
      <w:r w:rsidR="001D3D3C">
        <w:rPr>
          <w:rFonts w:ascii="Georgia" w:hAnsi="Georgia"/>
          <w:sz w:val="20"/>
          <w:szCs w:val="22"/>
          <w:lang w:val="en-GB"/>
        </w:rPr>
        <w:t xml:space="preserve"> and landing </w:t>
      </w:r>
      <w:r w:rsidRPr="008C5F39">
        <w:rPr>
          <w:rFonts w:ascii="Georgia" w:hAnsi="Georgia"/>
          <w:sz w:val="20"/>
          <w:szCs w:val="22"/>
          <w:lang w:val="en-GB"/>
        </w:rPr>
        <w:t xml:space="preserve">area for high-voltage </w:t>
      </w:r>
      <w:r w:rsidR="001D3D3C">
        <w:rPr>
          <w:rFonts w:ascii="Georgia" w:hAnsi="Georgia"/>
          <w:sz w:val="20"/>
          <w:szCs w:val="22"/>
          <w:lang w:val="en-GB"/>
        </w:rPr>
        <w:t>subsea</w:t>
      </w:r>
      <w:r w:rsidR="00BE20C2">
        <w:rPr>
          <w:rFonts w:ascii="Georgia" w:hAnsi="Georgia"/>
          <w:sz w:val="20"/>
          <w:szCs w:val="22"/>
          <w:lang w:val="en-GB"/>
        </w:rPr>
        <w:t xml:space="preserve"> </w:t>
      </w:r>
      <w:r w:rsidRPr="008C5F39">
        <w:rPr>
          <w:rFonts w:ascii="Georgia" w:hAnsi="Georgia"/>
          <w:sz w:val="20"/>
          <w:szCs w:val="22"/>
          <w:lang w:val="en-GB"/>
        </w:rPr>
        <w:t>cable</w:t>
      </w:r>
      <w:r w:rsidR="001D3D3C">
        <w:rPr>
          <w:rFonts w:ascii="Georgia" w:hAnsi="Georgia"/>
          <w:sz w:val="20"/>
          <w:szCs w:val="22"/>
          <w:lang w:val="en-GB"/>
        </w:rPr>
        <w:t xml:space="preserve"> systems</w:t>
      </w:r>
      <w:r w:rsidRPr="008C5F39">
        <w:rPr>
          <w:rFonts w:ascii="Georgia" w:hAnsi="Georgia"/>
          <w:sz w:val="20"/>
          <w:szCs w:val="22"/>
          <w:lang w:val="en-GB"/>
        </w:rPr>
        <w:t xml:space="preserve"> and </w:t>
      </w:r>
      <w:r w:rsidR="00BE20C2">
        <w:rPr>
          <w:rFonts w:ascii="Georgia" w:hAnsi="Georgia"/>
          <w:sz w:val="20"/>
          <w:szCs w:val="22"/>
          <w:lang w:val="en-GB"/>
        </w:rPr>
        <w:t xml:space="preserve">gas </w:t>
      </w:r>
      <w:r w:rsidRPr="008C5F39">
        <w:rPr>
          <w:rFonts w:ascii="Georgia" w:hAnsi="Georgia"/>
          <w:sz w:val="20"/>
          <w:szCs w:val="22"/>
          <w:lang w:val="en-GB"/>
        </w:rPr>
        <w:t>pipelines intended to transport energy</w:t>
      </w:r>
      <w:r w:rsidR="001D3D3C">
        <w:rPr>
          <w:rFonts w:ascii="Georgia" w:hAnsi="Georgia"/>
          <w:sz w:val="20"/>
          <w:szCs w:val="22"/>
          <w:lang w:val="en-GB"/>
        </w:rPr>
        <w:t xml:space="preserve"> with a</w:t>
      </w:r>
      <w:r w:rsidR="0032788A">
        <w:rPr>
          <w:rFonts w:ascii="Georgia" w:hAnsi="Georgia"/>
          <w:sz w:val="20"/>
          <w:szCs w:val="22"/>
          <w:lang w:val="en-GB"/>
        </w:rPr>
        <w:t>n accelerat</w:t>
      </w:r>
      <w:r w:rsidR="00E82D60">
        <w:rPr>
          <w:rFonts w:ascii="Georgia" w:hAnsi="Georgia"/>
          <w:sz w:val="20"/>
          <w:szCs w:val="22"/>
          <w:lang w:val="en-GB"/>
        </w:rPr>
        <w:t xml:space="preserve">ing </w:t>
      </w:r>
      <w:r w:rsidR="0032788A">
        <w:rPr>
          <w:rFonts w:ascii="Georgia" w:hAnsi="Georgia"/>
          <w:sz w:val="20"/>
          <w:szCs w:val="22"/>
          <w:lang w:val="en-GB"/>
        </w:rPr>
        <w:t>growing trend towards 2030 and beyond</w:t>
      </w:r>
      <w:r w:rsidRPr="008C5F39">
        <w:rPr>
          <w:rFonts w:ascii="Georgia" w:hAnsi="Georgia"/>
          <w:sz w:val="20"/>
          <w:szCs w:val="22"/>
          <w:lang w:val="en-GB"/>
        </w:rPr>
        <w:t>.</w:t>
      </w:r>
      <w:r w:rsidR="0032788A">
        <w:rPr>
          <w:rFonts w:ascii="Georgia" w:hAnsi="Georgia"/>
          <w:sz w:val="20"/>
          <w:szCs w:val="22"/>
          <w:lang w:val="en-GB"/>
        </w:rPr>
        <w:t xml:space="preserve"> </w:t>
      </w:r>
      <w:r w:rsidR="00C42279">
        <w:rPr>
          <w:rFonts w:ascii="Georgia" w:hAnsi="Georgia"/>
          <w:sz w:val="20"/>
          <w:szCs w:val="22"/>
          <w:lang w:val="en-GB"/>
        </w:rPr>
        <w:t xml:space="preserve">In the course of the </w:t>
      </w:r>
      <w:r w:rsidR="0075565A">
        <w:rPr>
          <w:rFonts w:ascii="Georgia" w:hAnsi="Georgia"/>
          <w:sz w:val="20"/>
          <w:szCs w:val="22"/>
          <w:lang w:val="en-GB"/>
        </w:rPr>
        <w:t xml:space="preserve">further </w:t>
      </w:r>
      <w:r w:rsidR="00C42279">
        <w:rPr>
          <w:rFonts w:ascii="Georgia" w:hAnsi="Georgia"/>
          <w:sz w:val="20"/>
          <w:szCs w:val="22"/>
          <w:lang w:val="en-GB"/>
        </w:rPr>
        <w:t>decarbonisation of the energy sector,</w:t>
      </w:r>
      <w:r w:rsidR="00B620B3">
        <w:rPr>
          <w:rFonts w:ascii="Georgia" w:hAnsi="Georgia"/>
          <w:sz w:val="20"/>
          <w:szCs w:val="22"/>
          <w:lang w:val="en-GB"/>
        </w:rPr>
        <w:t xml:space="preserve"> also </w:t>
      </w:r>
      <w:r w:rsidR="0075565A">
        <w:rPr>
          <w:rFonts w:ascii="Georgia" w:hAnsi="Georgia"/>
          <w:sz w:val="20"/>
          <w:szCs w:val="22"/>
          <w:lang w:val="en-GB"/>
        </w:rPr>
        <w:t xml:space="preserve">new technologies are being developed that would require </w:t>
      </w:r>
      <w:r w:rsidR="007917A1" w:rsidRPr="007917A1">
        <w:rPr>
          <w:rFonts w:ascii="Georgia" w:hAnsi="Georgia"/>
          <w:sz w:val="20"/>
          <w:szCs w:val="22"/>
          <w:lang w:val="en-GB"/>
        </w:rPr>
        <w:t>pipeline</w:t>
      </w:r>
      <w:r w:rsidR="001D3D3C">
        <w:rPr>
          <w:rFonts w:ascii="Georgia" w:hAnsi="Georgia"/>
          <w:sz w:val="20"/>
          <w:szCs w:val="22"/>
          <w:lang w:val="en-GB"/>
        </w:rPr>
        <w:t xml:space="preserve"> infrastructure</w:t>
      </w:r>
      <w:r w:rsidR="007917A1" w:rsidRPr="007917A1">
        <w:rPr>
          <w:rFonts w:ascii="Georgia" w:hAnsi="Georgia"/>
          <w:sz w:val="20"/>
          <w:szCs w:val="22"/>
          <w:lang w:val="en-GB"/>
        </w:rPr>
        <w:t xml:space="preserve"> to transport hydrogen or carbon dioxide</w:t>
      </w:r>
      <w:r w:rsidR="007917A1">
        <w:rPr>
          <w:rFonts w:ascii="Georgia" w:hAnsi="Georgia"/>
          <w:sz w:val="20"/>
          <w:szCs w:val="22"/>
          <w:lang w:val="en-GB"/>
        </w:rPr>
        <w:t xml:space="preserve"> (Carbon Capture and Storage in the North Sea</w:t>
      </w:r>
      <w:r w:rsidR="0075565A">
        <w:rPr>
          <w:rFonts w:ascii="Georgia" w:hAnsi="Georgia"/>
          <w:sz w:val="20"/>
          <w:szCs w:val="22"/>
          <w:lang w:val="en-GB"/>
        </w:rPr>
        <w:t>).</w:t>
      </w:r>
      <w:r w:rsidR="008645ED">
        <w:rPr>
          <w:rFonts w:ascii="Georgia" w:hAnsi="Georgia"/>
          <w:sz w:val="20"/>
          <w:szCs w:val="22"/>
          <w:lang w:val="en-GB"/>
        </w:rPr>
        <w:t xml:space="preserve"> </w:t>
      </w:r>
      <w:r w:rsidR="009E1590">
        <w:rPr>
          <w:rFonts w:ascii="Georgia" w:hAnsi="Georgia"/>
          <w:sz w:val="20"/>
          <w:szCs w:val="22"/>
          <w:lang w:val="en-GB"/>
        </w:rPr>
        <w:t>In addition,</w:t>
      </w:r>
      <w:r w:rsidR="008645ED">
        <w:rPr>
          <w:rFonts w:ascii="Georgia" w:hAnsi="Georgia"/>
          <w:sz w:val="20"/>
          <w:szCs w:val="22"/>
          <w:lang w:val="en-GB"/>
        </w:rPr>
        <w:t xml:space="preserve"> P</w:t>
      </w:r>
      <w:r w:rsidR="00491FCE">
        <w:rPr>
          <w:rFonts w:ascii="Georgia" w:hAnsi="Georgia"/>
          <w:sz w:val="20"/>
          <w:szCs w:val="22"/>
          <w:lang w:val="en-GB"/>
        </w:rPr>
        <w:t xml:space="preserve">ower </w:t>
      </w:r>
      <w:r w:rsidR="008645ED">
        <w:rPr>
          <w:rFonts w:ascii="Georgia" w:hAnsi="Georgia"/>
          <w:sz w:val="20"/>
          <w:szCs w:val="22"/>
          <w:lang w:val="en-GB"/>
        </w:rPr>
        <w:t>t</w:t>
      </w:r>
      <w:r w:rsidR="00491FCE">
        <w:rPr>
          <w:rFonts w:ascii="Georgia" w:hAnsi="Georgia"/>
          <w:sz w:val="20"/>
          <w:szCs w:val="22"/>
          <w:lang w:val="en-GB"/>
        </w:rPr>
        <w:t xml:space="preserve">o </w:t>
      </w:r>
      <w:r w:rsidR="008645ED">
        <w:rPr>
          <w:rFonts w:ascii="Georgia" w:hAnsi="Georgia"/>
          <w:sz w:val="20"/>
          <w:szCs w:val="22"/>
          <w:lang w:val="en-GB"/>
        </w:rPr>
        <w:t>X plants may be established in connection with so-called “energy islands” in the North Sea</w:t>
      </w:r>
      <w:r w:rsidR="00E82D60">
        <w:rPr>
          <w:rFonts w:ascii="Georgia" w:hAnsi="Georgia"/>
          <w:sz w:val="20"/>
          <w:szCs w:val="22"/>
          <w:lang w:val="en-GB"/>
        </w:rPr>
        <w:t>.</w:t>
      </w:r>
      <w:r w:rsidR="008645ED">
        <w:rPr>
          <w:rFonts w:ascii="Georgia" w:hAnsi="Georgia"/>
          <w:sz w:val="20"/>
          <w:szCs w:val="22"/>
          <w:lang w:val="en-GB"/>
        </w:rPr>
        <w:t xml:space="preserve"> Products from these plants may be brought ashore in pipelines</w:t>
      </w:r>
      <w:r w:rsidR="00E82D60">
        <w:rPr>
          <w:rFonts w:ascii="Georgia" w:hAnsi="Georgia"/>
          <w:sz w:val="20"/>
          <w:szCs w:val="22"/>
          <w:lang w:val="en-GB"/>
        </w:rPr>
        <w:t>, too.</w:t>
      </w:r>
    </w:p>
    <w:p w14:paraId="13FF9BD1" w14:textId="77777777" w:rsidR="007917A1" w:rsidRDefault="007917A1" w:rsidP="004A476D">
      <w:pPr>
        <w:spacing w:line="276" w:lineRule="auto"/>
        <w:rPr>
          <w:rFonts w:ascii="Georgia" w:hAnsi="Georgia"/>
          <w:sz w:val="20"/>
          <w:szCs w:val="22"/>
          <w:lang w:val="en-GB"/>
        </w:rPr>
      </w:pPr>
    </w:p>
    <w:p w14:paraId="74868899" w14:textId="3A6FA3E5" w:rsidR="00766F5A" w:rsidRDefault="008C5F39" w:rsidP="00E82D60">
      <w:pPr>
        <w:spacing w:line="276" w:lineRule="auto"/>
        <w:rPr>
          <w:rFonts w:ascii="Georgia" w:hAnsi="Georgia"/>
          <w:sz w:val="20"/>
          <w:szCs w:val="22"/>
          <w:lang w:val="en-GB"/>
        </w:rPr>
      </w:pPr>
      <w:r w:rsidRPr="008C5F39">
        <w:rPr>
          <w:rFonts w:ascii="Georgia" w:hAnsi="Georgia"/>
          <w:sz w:val="20"/>
          <w:szCs w:val="22"/>
          <w:lang w:val="en-GB"/>
        </w:rPr>
        <w:t xml:space="preserve">Aware of the environmental </w:t>
      </w:r>
      <w:r w:rsidR="007917A1">
        <w:rPr>
          <w:rFonts w:ascii="Georgia" w:hAnsi="Georgia"/>
          <w:sz w:val="20"/>
          <w:szCs w:val="22"/>
          <w:lang w:val="en-GB"/>
        </w:rPr>
        <w:t>risk</w:t>
      </w:r>
      <w:r w:rsidRPr="008C5F39">
        <w:rPr>
          <w:rFonts w:ascii="Georgia" w:hAnsi="Georgia"/>
          <w:sz w:val="20"/>
          <w:szCs w:val="22"/>
          <w:lang w:val="en-GB"/>
        </w:rPr>
        <w:t xml:space="preserve"> this</w:t>
      </w:r>
      <w:r w:rsidR="007917A1">
        <w:rPr>
          <w:rFonts w:ascii="Georgia" w:hAnsi="Georgia"/>
          <w:sz w:val="20"/>
          <w:szCs w:val="22"/>
          <w:lang w:val="en-GB"/>
        </w:rPr>
        <w:t xml:space="preserve"> development</w:t>
      </w:r>
      <w:r w:rsidRPr="008C5F39">
        <w:rPr>
          <w:rFonts w:ascii="Georgia" w:hAnsi="Georgia"/>
          <w:sz w:val="20"/>
          <w:szCs w:val="22"/>
          <w:lang w:val="en-GB"/>
        </w:rPr>
        <w:t xml:space="preserve"> </w:t>
      </w:r>
      <w:r w:rsidR="00216D48">
        <w:rPr>
          <w:rFonts w:ascii="Georgia" w:hAnsi="Georgia"/>
          <w:sz w:val="20"/>
          <w:szCs w:val="22"/>
          <w:lang w:val="en-GB"/>
        </w:rPr>
        <w:t xml:space="preserve">might </w:t>
      </w:r>
      <w:r w:rsidRPr="008C5F39">
        <w:rPr>
          <w:rFonts w:ascii="Georgia" w:hAnsi="Georgia"/>
          <w:sz w:val="20"/>
          <w:szCs w:val="22"/>
          <w:lang w:val="en-GB"/>
        </w:rPr>
        <w:t>pose</w:t>
      </w:r>
      <w:r w:rsidR="00B174BC">
        <w:rPr>
          <w:rFonts w:ascii="Georgia" w:hAnsi="Georgia"/>
          <w:sz w:val="20"/>
          <w:szCs w:val="22"/>
          <w:lang w:val="en-GB"/>
        </w:rPr>
        <w:t xml:space="preserve"> </w:t>
      </w:r>
      <w:r w:rsidR="00216D48">
        <w:rPr>
          <w:rFonts w:ascii="Georgia" w:hAnsi="Georgia"/>
          <w:sz w:val="20"/>
          <w:szCs w:val="22"/>
          <w:lang w:val="en-GB"/>
        </w:rPr>
        <w:t>to</w:t>
      </w:r>
      <w:r w:rsidR="00B174BC">
        <w:rPr>
          <w:rFonts w:ascii="Georgia" w:hAnsi="Georgia"/>
          <w:sz w:val="20"/>
          <w:szCs w:val="22"/>
          <w:lang w:val="en-GB"/>
        </w:rPr>
        <w:t xml:space="preserve"> the Wadden Sea ecosystem</w:t>
      </w:r>
      <w:r>
        <w:rPr>
          <w:rFonts w:ascii="Georgia" w:hAnsi="Georgia"/>
          <w:sz w:val="20"/>
          <w:szCs w:val="22"/>
          <w:lang w:val="en-GB"/>
        </w:rPr>
        <w:t>,</w:t>
      </w:r>
      <w:r w:rsidR="004A476D">
        <w:rPr>
          <w:rFonts w:ascii="Georgia" w:hAnsi="Georgia"/>
          <w:sz w:val="20"/>
          <w:szCs w:val="22"/>
          <w:lang w:val="en-GB"/>
        </w:rPr>
        <w:t xml:space="preserve"> </w:t>
      </w:r>
      <w:r w:rsidR="00B174BC">
        <w:rPr>
          <w:rFonts w:ascii="Georgia" w:hAnsi="Georgia"/>
          <w:sz w:val="20"/>
          <w:szCs w:val="22"/>
          <w:lang w:val="en-GB"/>
        </w:rPr>
        <w:t xml:space="preserve">it was </w:t>
      </w:r>
      <w:r w:rsidR="00EB49E9">
        <w:rPr>
          <w:rFonts w:ascii="Georgia" w:hAnsi="Georgia"/>
          <w:sz w:val="20"/>
          <w:szCs w:val="22"/>
          <w:lang w:val="en-GB"/>
        </w:rPr>
        <w:t xml:space="preserve">already </w:t>
      </w:r>
      <w:r w:rsidR="00B174BC">
        <w:rPr>
          <w:rFonts w:ascii="Georgia" w:hAnsi="Georgia"/>
          <w:sz w:val="20"/>
          <w:szCs w:val="22"/>
          <w:lang w:val="en-GB"/>
        </w:rPr>
        <w:t>addressed</w:t>
      </w:r>
      <w:r w:rsidRPr="008C5F39">
        <w:rPr>
          <w:rFonts w:ascii="Georgia" w:hAnsi="Georgia"/>
          <w:sz w:val="20"/>
          <w:szCs w:val="22"/>
          <w:lang w:val="en-GB"/>
        </w:rPr>
        <w:t xml:space="preserve"> </w:t>
      </w:r>
      <w:r w:rsidR="0032788A">
        <w:rPr>
          <w:rFonts w:ascii="Georgia" w:hAnsi="Georgia"/>
          <w:sz w:val="20"/>
          <w:szCs w:val="22"/>
          <w:lang w:val="en-GB"/>
        </w:rPr>
        <w:t xml:space="preserve">by the </w:t>
      </w:r>
      <w:r w:rsidR="00B174BC">
        <w:rPr>
          <w:rFonts w:ascii="Georgia" w:hAnsi="Georgia"/>
          <w:sz w:val="20"/>
          <w:szCs w:val="22"/>
          <w:lang w:val="en-GB"/>
        </w:rPr>
        <w:t>M</w:t>
      </w:r>
      <w:r w:rsidR="0032788A">
        <w:rPr>
          <w:rFonts w:ascii="Georgia" w:hAnsi="Georgia"/>
          <w:sz w:val="20"/>
          <w:szCs w:val="22"/>
          <w:lang w:val="en-GB"/>
        </w:rPr>
        <w:t xml:space="preserve">inisters in </w:t>
      </w:r>
      <w:r>
        <w:rPr>
          <w:rFonts w:ascii="Georgia" w:hAnsi="Georgia"/>
          <w:sz w:val="20"/>
          <w:szCs w:val="22"/>
          <w:lang w:val="en-GB"/>
        </w:rPr>
        <w:t>the</w:t>
      </w:r>
      <w:r w:rsidR="00B174BC">
        <w:rPr>
          <w:rFonts w:ascii="Georgia" w:hAnsi="Georgia"/>
          <w:sz w:val="20"/>
          <w:szCs w:val="22"/>
          <w:lang w:val="en-GB"/>
        </w:rPr>
        <w:t xml:space="preserve"> </w:t>
      </w:r>
      <w:proofErr w:type="spellStart"/>
      <w:r w:rsidR="00B174BC">
        <w:rPr>
          <w:rFonts w:ascii="Georgia" w:hAnsi="Georgia"/>
          <w:sz w:val="20"/>
          <w:szCs w:val="22"/>
          <w:lang w:val="en-GB"/>
        </w:rPr>
        <w:t>Tonder</w:t>
      </w:r>
      <w:proofErr w:type="spellEnd"/>
      <w:r w:rsidR="00B174BC">
        <w:rPr>
          <w:rFonts w:ascii="Georgia" w:hAnsi="Georgia"/>
          <w:sz w:val="20"/>
          <w:szCs w:val="22"/>
          <w:lang w:val="en-GB"/>
        </w:rPr>
        <w:t xml:space="preserve"> Declaration 2014 and agreed in the</w:t>
      </w:r>
      <w:r>
        <w:rPr>
          <w:rFonts w:ascii="Georgia" w:hAnsi="Georgia"/>
          <w:sz w:val="20"/>
          <w:szCs w:val="22"/>
          <w:lang w:val="en-GB"/>
        </w:rPr>
        <w:t xml:space="preserve"> L</w:t>
      </w:r>
      <w:r w:rsidR="0032788A">
        <w:rPr>
          <w:rFonts w:ascii="Georgia" w:hAnsi="Georgia"/>
          <w:sz w:val="20"/>
          <w:szCs w:val="22"/>
          <w:lang w:val="en-GB"/>
        </w:rPr>
        <w:t xml:space="preserve">eeuwarden </w:t>
      </w:r>
      <w:r>
        <w:rPr>
          <w:rFonts w:ascii="Georgia" w:hAnsi="Georgia"/>
          <w:sz w:val="20"/>
          <w:szCs w:val="22"/>
          <w:lang w:val="en-GB"/>
        </w:rPr>
        <w:t>D</w:t>
      </w:r>
      <w:r w:rsidR="0032788A">
        <w:rPr>
          <w:rFonts w:ascii="Georgia" w:hAnsi="Georgia"/>
          <w:sz w:val="20"/>
          <w:szCs w:val="22"/>
          <w:lang w:val="en-GB"/>
        </w:rPr>
        <w:t>eclaration</w:t>
      </w:r>
      <w:r w:rsidR="00B174BC">
        <w:rPr>
          <w:rFonts w:ascii="Georgia" w:hAnsi="Georgia"/>
          <w:sz w:val="20"/>
          <w:szCs w:val="22"/>
          <w:lang w:val="en-GB"/>
        </w:rPr>
        <w:t xml:space="preserve"> 2018</w:t>
      </w:r>
      <w:r>
        <w:rPr>
          <w:rFonts w:ascii="Georgia" w:hAnsi="Georgia"/>
          <w:sz w:val="20"/>
          <w:szCs w:val="22"/>
          <w:lang w:val="en-GB"/>
        </w:rPr>
        <w:t>, para 29</w:t>
      </w:r>
      <w:r w:rsidR="00B174BC">
        <w:rPr>
          <w:rFonts w:ascii="Georgia" w:hAnsi="Georgia"/>
          <w:sz w:val="20"/>
          <w:szCs w:val="22"/>
          <w:lang w:val="en-GB"/>
        </w:rPr>
        <w:t>, to</w:t>
      </w:r>
      <w:r w:rsidR="004A476D">
        <w:rPr>
          <w:rFonts w:ascii="Georgia" w:hAnsi="Georgia"/>
          <w:sz w:val="20"/>
          <w:szCs w:val="22"/>
          <w:lang w:val="en-GB"/>
        </w:rPr>
        <w:t xml:space="preserve">: </w:t>
      </w:r>
      <w:r w:rsidR="004A476D" w:rsidRPr="00AA17CC">
        <w:rPr>
          <w:rFonts w:ascii="Georgia" w:hAnsi="Georgia"/>
          <w:i/>
          <w:iCs/>
          <w:sz w:val="20"/>
          <w:szCs w:val="22"/>
          <w:lang w:val="en-GB"/>
        </w:rPr>
        <w:t>“Instruct the Wadden Sea Board to review and monitor the impacts of renewable energy production and energy transportation on the Wadden Sea ecosystem and to consider measures to avoid or mitigate possible negative impacts by looking for best environmental practices also with the aim of developing, for example, related common principles to evaluate the impact of high-voltage power cables in the Wadden Sea Area in close consultation with the responsible bodies and stakeholders”.</w:t>
      </w:r>
      <w:r w:rsidR="004A476D">
        <w:rPr>
          <w:rFonts w:ascii="Georgia" w:hAnsi="Georgia"/>
          <w:sz w:val="20"/>
          <w:szCs w:val="22"/>
          <w:lang w:val="en-GB"/>
        </w:rPr>
        <w:t xml:space="preserve"> </w:t>
      </w:r>
    </w:p>
    <w:p w14:paraId="67EF58D0" w14:textId="77777777" w:rsidR="00E82D60" w:rsidRDefault="00E82D60" w:rsidP="00E82D60">
      <w:pPr>
        <w:spacing w:line="276" w:lineRule="auto"/>
        <w:rPr>
          <w:rFonts w:ascii="Georgia" w:hAnsi="Georgia"/>
          <w:sz w:val="20"/>
          <w:szCs w:val="22"/>
        </w:rPr>
      </w:pPr>
    </w:p>
    <w:p w14:paraId="246E04FD" w14:textId="7D30BBF7" w:rsidR="00B174BC" w:rsidRDefault="00766F5A" w:rsidP="004A476D">
      <w:pPr>
        <w:pStyle w:val="Heading1"/>
        <w:rPr>
          <w:rFonts w:ascii="Georgia" w:hAnsi="Georgia"/>
          <w:sz w:val="20"/>
          <w:szCs w:val="22"/>
        </w:rPr>
      </w:pPr>
      <w:r>
        <w:rPr>
          <w:rFonts w:ascii="Georgia" w:hAnsi="Georgia"/>
          <w:sz w:val="20"/>
          <w:szCs w:val="22"/>
        </w:rPr>
        <w:t xml:space="preserve">Some </w:t>
      </w:r>
      <w:r w:rsidR="004A476D">
        <w:rPr>
          <w:rFonts w:ascii="Georgia" w:hAnsi="Georgia"/>
          <w:sz w:val="20"/>
          <w:szCs w:val="22"/>
        </w:rPr>
        <w:t>steps to fulfil this task have already been taken since the TGC 2018: R</w:t>
      </w:r>
      <w:r w:rsidR="004A476D" w:rsidRPr="00911E51">
        <w:rPr>
          <w:rFonts w:ascii="Georgia" w:hAnsi="Georgia"/>
          <w:sz w:val="20"/>
          <w:szCs w:val="22"/>
        </w:rPr>
        <w:t>eview and monitoring of impacts</w:t>
      </w:r>
      <w:r w:rsidR="004A476D">
        <w:rPr>
          <w:rFonts w:ascii="Georgia" w:hAnsi="Georgia"/>
          <w:sz w:val="20"/>
          <w:szCs w:val="22"/>
        </w:rPr>
        <w:t xml:space="preserve"> in the context of the drafting process for the single integrated management plan for the Wadden Sea World Heritage</w:t>
      </w:r>
      <w:r w:rsidR="00B174BC">
        <w:rPr>
          <w:rFonts w:ascii="Georgia" w:hAnsi="Georgia"/>
          <w:sz w:val="20"/>
          <w:szCs w:val="22"/>
        </w:rPr>
        <w:t xml:space="preserve"> (SIMP)</w:t>
      </w:r>
      <w:r w:rsidR="004A476D">
        <w:rPr>
          <w:rFonts w:ascii="Georgia" w:hAnsi="Georgia"/>
          <w:sz w:val="20"/>
          <w:szCs w:val="22"/>
        </w:rPr>
        <w:t xml:space="preserve"> and the</w:t>
      </w:r>
      <w:r w:rsidR="00EB49E9">
        <w:rPr>
          <w:rFonts w:ascii="Georgia" w:hAnsi="Georgia"/>
          <w:sz w:val="20"/>
          <w:szCs w:val="22"/>
        </w:rPr>
        <w:t xml:space="preserve"> update of the</w:t>
      </w:r>
      <w:r w:rsidR="004A476D">
        <w:rPr>
          <w:rFonts w:ascii="Georgia" w:hAnsi="Georgia"/>
          <w:sz w:val="20"/>
          <w:szCs w:val="22"/>
        </w:rPr>
        <w:t xml:space="preserve"> thematic report on energy in the framework of the Quality Status Report, both currently nearing finalisation. </w:t>
      </w:r>
      <w:r w:rsidR="00B174BC">
        <w:rPr>
          <w:rFonts w:ascii="Georgia" w:hAnsi="Georgia"/>
          <w:sz w:val="20"/>
          <w:szCs w:val="22"/>
        </w:rPr>
        <w:t xml:space="preserve">For further information see draft SIMP </w:t>
      </w:r>
      <w:r w:rsidR="00EB49E9">
        <w:rPr>
          <w:rFonts w:ascii="Georgia" w:hAnsi="Georgia"/>
          <w:sz w:val="20"/>
          <w:szCs w:val="22"/>
        </w:rPr>
        <w:t>plus</w:t>
      </w:r>
      <w:r w:rsidR="00B174BC">
        <w:rPr>
          <w:rFonts w:ascii="Georgia" w:hAnsi="Georgia"/>
          <w:sz w:val="20"/>
          <w:szCs w:val="22"/>
        </w:rPr>
        <w:t xml:space="preserve"> background papers</w:t>
      </w:r>
      <w:r w:rsidR="00EB49E9">
        <w:rPr>
          <w:rFonts w:ascii="Georgia" w:hAnsi="Georgia"/>
          <w:sz w:val="20"/>
          <w:szCs w:val="22"/>
        </w:rPr>
        <w:t xml:space="preserve"> (risk assessment)</w:t>
      </w:r>
      <w:r w:rsidR="00B174BC">
        <w:rPr>
          <w:rFonts w:ascii="Georgia" w:hAnsi="Georgia"/>
          <w:sz w:val="20"/>
          <w:szCs w:val="22"/>
        </w:rPr>
        <w:t xml:space="preserve">, draft QSR thematic report on energy and </w:t>
      </w:r>
      <w:hyperlink r:id="rId9" w:history="1">
        <w:r w:rsidR="00B174BC" w:rsidRPr="00EC5EFA">
          <w:rPr>
            <w:rStyle w:val="Hyperlink"/>
            <w:rFonts w:ascii="Georgia" w:hAnsi="Georgia"/>
            <w:sz w:val="20"/>
            <w:szCs w:val="22"/>
          </w:rPr>
          <w:t>https://northsearegion.eu/northsee/e-energy/</w:t>
        </w:r>
      </w:hyperlink>
      <w:r w:rsidR="00B174BC">
        <w:rPr>
          <w:rFonts w:ascii="Georgia" w:hAnsi="Georgia"/>
          <w:sz w:val="20"/>
          <w:szCs w:val="22"/>
        </w:rPr>
        <w:t xml:space="preserve">. </w:t>
      </w:r>
    </w:p>
    <w:p w14:paraId="6EB73559" w14:textId="2E5F298B" w:rsidR="004A476D" w:rsidRDefault="004A476D" w:rsidP="004A476D">
      <w:pPr>
        <w:pStyle w:val="Heading1"/>
        <w:rPr>
          <w:rFonts w:ascii="Georgia" w:hAnsi="Georgia"/>
          <w:sz w:val="20"/>
          <w:szCs w:val="20"/>
        </w:rPr>
      </w:pPr>
      <w:r>
        <w:rPr>
          <w:rFonts w:ascii="Georgia" w:hAnsi="Georgia"/>
          <w:sz w:val="20"/>
          <w:szCs w:val="20"/>
        </w:rPr>
        <w:t>C</w:t>
      </w:r>
      <w:r w:rsidRPr="00911E51">
        <w:rPr>
          <w:rFonts w:ascii="Georgia" w:hAnsi="Georgia"/>
          <w:sz w:val="20"/>
          <w:szCs w:val="20"/>
        </w:rPr>
        <w:t>onsidering measures to avoid or mitigate possible negative impacts</w:t>
      </w:r>
      <w:r>
        <w:rPr>
          <w:rFonts w:ascii="Georgia" w:hAnsi="Georgia"/>
          <w:sz w:val="20"/>
          <w:szCs w:val="20"/>
        </w:rPr>
        <w:t xml:space="preserve"> lies in</w:t>
      </w:r>
      <w:r w:rsidR="00C42279">
        <w:rPr>
          <w:rFonts w:ascii="Georgia" w:hAnsi="Georgia"/>
          <w:sz w:val="20"/>
          <w:szCs w:val="20"/>
        </w:rPr>
        <w:t xml:space="preserve"> mutual</w:t>
      </w:r>
      <w:r>
        <w:rPr>
          <w:rFonts w:ascii="Georgia" w:hAnsi="Georgia"/>
          <w:sz w:val="20"/>
          <w:szCs w:val="20"/>
        </w:rPr>
        <w:t xml:space="preserve"> </w:t>
      </w:r>
      <w:r w:rsidR="00B174BC">
        <w:rPr>
          <w:rFonts w:ascii="Georgia" w:hAnsi="Georgia"/>
          <w:sz w:val="20"/>
          <w:szCs w:val="20"/>
        </w:rPr>
        <w:t>trilateral</w:t>
      </w:r>
      <w:r>
        <w:rPr>
          <w:rFonts w:ascii="Georgia" w:hAnsi="Georgia"/>
          <w:sz w:val="20"/>
          <w:szCs w:val="20"/>
        </w:rPr>
        <w:t xml:space="preserve"> conservation and sustainability interests</w:t>
      </w:r>
      <w:r w:rsidR="00766F5A">
        <w:rPr>
          <w:rFonts w:ascii="Georgia" w:hAnsi="Georgia"/>
          <w:sz w:val="20"/>
          <w:szCs w:val="20"/>
        </w:rPr>
        <w:t>.</w:t>
      </w:r>
      <w:r w:rsidR="00B174BC">
        <w:rPr>
          <w:rFonts w:ascii="Georgia" w:hAnsi="Georgia"/>
          <w:sz w:val="20"/>
          <w:szCs w:val="22"/>
        </w:rPr>
        <w:t xml:space="preserve"> </w:t>
      </w:r>
      <w:r w:rsidR="003F3E1A">
        <w:rPr>
          <w:rFonts w:ascii="Georgia" w:hAnsi="Georgia"/>
          <w:sz w:val="20"/>
          <w:szCs w:val="22"/>
        </w:rPr>
        <w:t xml:space="preserve">What is </w:t>
      </w:r>
      <w:r w:rsidR="00766F5A">
        <w:rPr>
          <w:rFonts w:ascii="Georgia" w:hAnsi="Georgia"/>
          <w:sz w:val="20"/>
          <w:szCs w:val="22"/>
        </w:rPr>
        <w:t xml:space="preserve">still </w:t>
      </w:r>
      <w:r w:rsidR="003F3E1A" w:rsidRPr="009345B1">
        <w:rPr>
          <w:rFonts w:ascii="Georgia" w:hAnsi="Georgia"/>
          <w:sz w:val="20"/>
          <w:szCs w:val="20"/>
        </w:rPr>
        <w:t xml:space="preserve">lacking, is </w:t>
      </w:r>
      <w:r w:rsidR="003F3E1A">
        <w:rPr>
          <w:rFonts w:ascii="Georgia" w:hAnsi="Georgia"/>
          <w:sz w:val="20"/>
          <w:szCs w:val="20"/>
        </w:rPr>
        <w:t>a more in-depth trilateral</w:t>
      </w:r>
      <w:r w:rsidR="0032788A">
        <w:rPr>
          <w:rFonts w:ascii="Georgia" w:hAnsi="Georgia"/>
          <w:sz w:val="20"/>
          <w:szCs w:val="20"/>
        </w:rPr>
        <w:t xml:space="preserve"> nature conservation</w:t>
      </w:r>
      <w:r w:rsidR="00DD3E5D">
        <w:rPr>
          <w:rFonts w:ascii="Georgia" w:hAnsi="Georgia"/>
          <w:sz w:val="20"/>
          <w:szCs w:val="20"/>
        </w:rPr>
        <w:t xml:space="preserve"> and sustainability</w:t>
      </w:r>
      <w:r w:rsidR="003F3E1A">
        <w:rPr>
          <w:rFonts w:ascii="Georgia" w:hAnsi="Georgia"/>
          <w:sz w:val="20"/>
          <w:szCs w:val="20"/>
        </w:rPr>
        <w:t xml:space="preserve"> focus and exchange on</w:t>
      </w:r>
      <w:r w:rsidR="000C37F5">
        <w:rPr>
          <w:rFonts w:ascii="Georgia" w:hAnsi="Georgia"/>
          <w:sz w:val="20"/>
          <w:szCs w:val="20"/>
        </w:rPr>
        <w:t xml:space="preserve"> strategic grid planning,</w:t>
      </w:r>
      <w:r w:rsidR="003F3E1A">
        <w:rPr>
          <w:rFonts w:ascii="Georgia" w:hAnsi="Georgia"/>
          <w:sz w:val="20"/>
          <w:szCs w:val="20"/>
        </w:rPr>
        <w:t xml:space="preserve"> </w:t>
      </w:r>
      <w:r w:rsidR="001D3D3C">
        <w:rPr>
          <w:rFonts w:ascii="Georgia" w:hAnsi="Georgia"/>
          <w:sz w:val="20"/>
          <w:szCs w:val="20"/>
        </w:rPr>
        <w:t xml:space="preserve">route selection and fine </w:t>
      </w:r>
      <w:r w:rsidR="00DD3E5D">
        <w:rPr>
          <w:rFonts w:ascii="Georgia" w:hAnsi="Georgia"/>
          <w:sz w:val="20"/>
          <w:szCs w:val="20"/>
        </w:rPr>
        <w:t xml:space="preserve">routing, laying and maintenance of </w:t>
      </w:r>
      <w:r w:rsidR="003F3E1A">
        <w:rPr>
          <w:rFonts w:ascii="Georgia" w:hAnsi="Georgia"/>
          <w:sz w:val="20"/>
          <w:szCs w:val="20"/>
        </w:rPr>
        <w:t>future high voltage power grid and pipeline crossings of the Wadden Sea</w:t>
      </w:r>
      <w:r w:rsidR="0003527D">
        <w:rPr>
          <w:rFonts w:ascii="Georgia" w:hAnsi="Georgia"/>
          <w:sz w:val="20"/>
          <w:szCs w:val="20"/>
        </w:rPr>
        <w:t xml:space="preserve"> including cumulative effects</w:t>
      </w:r>
      <w:r w:rsidR="003F3E1A">
        <w:rPr>
          <w:rFonts w:ascii="Georgia" w:hAnsi="Georgia"/>
          <w:sz w:val="20"/>
          <w:szCs w:val="20"/>
        </w:rPr>
        <w:t>.</w:t>
      </w:r>
      <w:r w:rsidR="00DD3E5D">
        <w:rPr>
          <w:rFonts w:ascii="Georgia" w:hAnsi="Georgia"/>
          <w:sz w:val="20"/>
          <w:szCs w:val="20"/>
        </w:rPr>
        <w:t xml:space="preserve"> </w:t>
      </w:r>
    </w:p>
    <w:p w14:paraId="1CE7DFC6" w14:textId="6D80E6FF" w:rsidR="00DD3E5D" w:rsidRDefault="00DD3E5D" w:rsidP="00DD3E5D">
      <w:pPr>
        <w:spacing w:line="276" w:lineRule="auto"/>
        <w:rPr>
          <w:rFonts w:ascii="Georgia" w:hAnsi="Georgia"/>
          <w:sz w:val="20"/>
          <w:szCs w:val="22"/>
          <w:lang w:val="en-GB"/>
        </w:rPr>
      </w:pPr>
      <w:r>
        <w:rPr>
          <w:rFonts w:ascii="Georgia" w:hAnsi="Georgia"/>
          <w:sz w:val="20"/>
          <w:szCs w:val="22"/>
          <w:lang w:val="en-GB"/>
        </w:rPr>
        <w:t>On the implementation</w:t>
      </w:r>
      <w:r w:rsidR="00D70250">
        <w:rPr>
          <w:rFonts w:ascii="Georgia" w:hAnsi="Georgia"/>
          <w:sz w:val="20"/>
          <w:szCs w:val="22"/>
          <w:lang w:val="en-GB"/>
        </w:rPr>
        <w:t xml:space="preserve"> level,</w:t>
      </w:r>
      <w:r>
        <w:rPr>
          <w:rFonts w:ascii="Georgia" w:hAnsi="Georgia"/>
          <w:sz w:val="20"/>
          <w:szCs w:val="22"/>
          <w:lang w:val="en-GB"/>
        </w:rPr>
        <w:t xml:space="preserve"> all countries will run to similar problems. There is a risk of different implementation of the mitigation</w:t>
      </w:r>
      <w:r w:rsidR="007917A1">
        <w:rPr>
          <w:rFonts w:ascii="Georgia" w:hAnsi="Georgia"/>
          <w:sz w:val="20"/>
          <w:szCs w:val="22"/>
          <w:lang w:val="en-GB"/>
        </w:rPr>
        <w:t xml:space="preserve"> and compensation</w:t>
      </w:r>
      <w:r>
        <w:rPr>
          <w:rFonts w:ascii="Georgia" w:hAnsi="Georgia"/>
          <w:sz w:val="20"/>
          <w:szCs w:val="22"/>
          <w:lang w:val="en-GB"/>
        </w:rPr>
        <w:t xml:space="preserve"> measures from the bird and habitats directive</w:t>
      </w:r>
      <w:r>
        <w:rPr>
          <w:rStyle w:val="FootnoteReference"/>
          <w:rFonts w:ascii="Georgia" w:hAnsi="Georgia"/>
          <w:sz w:val="20"/>
          <w:szCs w:val="22"/>
          <w:lang w:val="en-GB"/>
        </w:rPr>
        <w:footnoteReference w:id="1"/>
      </w:r>
      <w:r>
        <w:rPr>
          <w:rFonts w:ascii="Georgia" w:hAnsi="Georgia"/>
          <w:sz w:val="20"/>
          <w:szCs w:val="22"/>
          <w:lang w:val="en-GB"/>
        </w:rPr>
        <w:t xml:space="preserve">. Also, </w:t>
      </w:r>
      <w:r w:rsidR="00C42279">
        <w:rPr>
          <w:rFonts w:ascii="Georgia" w:hAnsi="Georgia"/>
          <w:sz w:val="20"/>
          <w:szCs w:val="22"/>
          <w:lang w:val="en-GB"/>
        </w:rPr>
        <w:t xml:space="preserve">they </w:t>
      </w:r>
      <w:r>
        <w:rPr>
          <w:rFonts w:ascii="Georgia" w:hAnsi="Georgia"/>
          <w:sz w:val="20"/>
          <w:szCs w:val="22"/>
          <w:lang w:val="en-GB"/>
        </w:rPr>
        <w:t xml:space="preserve">are not at similar starting points. </w:t>
      </w:r>
      <w:r w:rsidR="00C42279">
        <w:rPr>
          <w:rFonts w:ascii="Georgia" w:hAnsi="Georgia"/>
          <w:sz w:val="20"/>
          <w:szCs w:val="22"/>
          <w:lang w:val="en-GB"/>
        </w:rPr>
        <w:t>Germany</w:t>
      </w:r>
      <w:r>
        <w:rPr>
          <w:rFonts w:ascii="Georgia" w:hAnsi="Georgia"/>
          <w:sz w:val="20"/>
          <w:szCs w:val="22"/>
          <w:lang w:val="en-GB"/>
        </w:rPr>
        <w:t xml:space="preserve"> has various</w:t>
      </w:r>
      <w:r w:rsidR="00D70250">
        <w:rPr>
          <w:rFonts w:ascii="Georgia" w:hAnsi="Georgia"/>
          <w:sz w:val="20"/>
          <w:szCs w:val="22"/>
          <w:lang w:val="en-GB"/>
        </w:rPr>
        <w:t>, spatially defined</w:t>
      </w:r>
      <w:r>
        <w:rPr>
          <w:rFonts w:ascii="Georgia" w:hAnsi="Georgia"/>
          <w:sz w:val="20"/>
          <w:szCs w:val="22"/>
          <w:lang w:val="en-GB"/>
        </w:rPr>
        <w:t xml:space="preserve"> energy corridors and is experienced with landing </w:t>
      </w:r>
      <w:r w:rsidR="00C42279">
        <w:rPr>
          <w:rFonts w:ascii="Georgia" w:hAnsi="Georgia"/>
          <w:sz w:val="20"/>
          <w:szCs w:val="22"/>
          <w:lang w:val="en-GB"/>
        </w:rPr>
        <w:t>high voltage power cables</w:t>
      </w:r>
      <w:r>
        <w:rPr>
          <w:rFonts w:ascii="Georgia" w:hAnsi="Georgia"/>
          <w:sz w:val="20"/>
          <w:szCs w:val="22"/>
          <w:lang w:val="en-GB"/>
        </w:rPr>
        <w:t>. In the Netherlands discussions are ongoing, whereas scientific advisers have different views on routing than partially applied in Lower Saxony</w:t>
      </w:r>
      <w:r w:rsidR="00D70250">
        <w:rPr>
          <w:rFonts w:ascii="Georgia" w:hAnsi="Georgia"/>
          <w:sz w:val="20"/>
          <w:szCs w:val="22"/>
          <w:lang w:val="en-GB"/>
        </w:rPr>
        <w:t xml:space="preserve"> or Schleswig-Holstein</w:t>
      </w:r>
      <w:r>
        <w:rPr>
          <w:rFonts w:ascii="Georgia" w:hAnsi="Georgia"/>
          <w:sz w:val="20"/>
          <w:szCs w:val="22"/>
          <w:lang w:val="en-GB"/>
        </w:rPr>
        <w:t>. Denmark expects no more landing of electricity in the near future, but is looking for Germany and Netherlands to further implement North Sea wind energy cooperation.</w:t>
      </w:r>
      <w:r w:rsidR="00491FCE">
        <w:rPr>
          <w:rFonts w:ascii="Georgia" w:hAnsi="Georgia"/>
          <w:sz w:val="20"/>
          <w:szCs w:val="22"/>
          <w:lang w:val="en-GB"/>
        </w:rPr>
        <w:t xml:space="preserve"> Innovations (such as 2GW cables) might be tried within one countr</w:t>
      </w:r>
      <w:r w:rsidR="00E82D60">
        <w:rPr>
          <w:rFonts w:ascii="Georgia" w:hAnsi="Georgia"/>
          <w:sz w:val="20"/>
          <w:szCs w:val="22"/>
          <w:lang w:val="en-GB"/>
        </w:rPr>
        <w:t>y</w:t>
      </w:r>
      <w:r w:rsidR="00491FCE">
        <w:rPr>
          <w:rFonts w:ascii="Georgia" w:hAnsi="Georgia"/>
          <w:sz w:val="20"/>
          <w:szCs w:val="22"/>
          <w:lang w:val="en-GB"/>
        </w:rPr>
        <w:t xml:space="preserve"> whereas lessons learned can be applied within a broader context. Finally, UNESCO has</w:t>
      </w:r>
      <w:r w:rsidR="00E82D60">
        <w:rPr>
          <w:rFonts w:ascii="Georgia" w:hAnsi="Georgia"/>
          <w:sz w:val="20"/>
          <w:szCs w:val="22"/>
          <w:lang w:val="en-GB"/>
        </w:rPr>
        <w:t>,</w:t>
      </w:r>
      <w:r w:rsidR="00491FCE">
        <w:rPr>
          <w:rFonts w:ascii="Georgia" w:hAnsi="Georgia"/>
          <w:sz w:val="20"/>
          <w:szCs w:val="22"/>
          <w:lang w:val="en-GB"/>
        </w:rPr>
        <w:t xml:space="preserve"> as part of the passive monitoring of World Heritage</w:t>
      </w:r>
      <w:r w:rsidR="00E82D60">
        <w:rPr>
          <w:rFonts w:ascii="Georgia" w:hAnsi="Georgia"/>
          <w:sz w:val="20"/>
          <w:szCs w:val="22"/>
          <w:lang w:val="en-GB"/>
        </w:rPr>
        <w:t>,</w:t>
      </w:r>
      <w:r w:rsidR="00491FCE">
        <w:rPr>
          <w:rFonts w:ascii="Georgia" w:hAnsi="Georgia"/>
          <w:sz w:val="20"/>
          <w:szCs w:val="22"/>
          <w:lang w:val="en-GB"/>
        </w:rPr>
        <w:t xml:space="preserve"> announced their concerns in this regard.</w:t>
      </w:r>
    </w:p>
    <w:p w14:paraId="64CC2B0D" w14:textId="77777777" w:rsidR="00491FCE" w:rsidRDefault="00491FCE" w:rsidP="00DD3E5D">
      <w:pPr>
        <w:spacing w:line="276" w:lineRule="auto"/>
        <w:rPr>
          <w:rFonts w:ascii="Georgia" w:hAnsi="Georgia"/>
          <w:sz w:val="20"/>
          <w:szCs w:val="22"/>
          <w:lang w:val="en-GB"/>
        </w:rPr>
      </w:pPr>
    </w:p>
    <w:p w14:paraId="5164A348" w14:textId="30A1B6C1" w:rsidR="00BE20C2" w:rsidRDefault="00BE20C2" w:rsidP="00DD3E5D">
      <w:pPr>
        <w:spacing w:line="276" w:lineRule="auto"/>
        <w:rPr>
          <w:rFonts w:ascii="Georgia" w:hAnsi="Georgia"/>
          <w:sz w:val="20"/>
          <w:szCs w:val="22"/>
          <w:lang w:val="en-GB"/>
        </w:rPr>
      </w:pPr>
      <w:r>
        <w:rPr>
          <w:rFonts w:ascii="Georgia" w:hAnsi="Georgia"/>
          <w:sz w:val="20"/>
          <w:szCs w:val="22"/>
          <w:lang w:val="en-GB"/>
        </w:rPr>
        <w:t>The ad-hoc working group reports to the TG-M.</w:t>
      </w:r>
    </w:p>
    <w:p w14:paraId="71DDC333" w14:textId="77777777" w:rsidR="00DD3E5D" w:rsidRPr="00DD3E5D" w:rsidRDefault="00DD3E5D" w:rsidP="00DD3E5D">
      <w:pPr>
        <w:rPr>
          <w:lang w:val="en-GB"/>
        </w:rPr>
      </w:pPr>
    </w:p>
    <w:p w14:paraId="1BD39291" w14:textId="05868D93" w:rsidR="00D74D7F" w:rsidRPr="00803C5D" w:rsidRDefault="00803C5D" w:rsidP="004A476D">
      <w:pPr>
        <w:pStyle w:val="Heading1"/>
        <w:rPr>
          <w:b/>
          <w:sz w:val="24"/>
          <w:szCs w:val="24"/>
        </w:rPr>
      </w:pPr>
      <w:r w:rsidRPr="00803C5D">
        <w:rPr>
          <w:rFonts w:eastAsiaTheme="majorEastAsia"/>
          <w:b/>
          <w:sz w:val="24"/>
          <w:szCs w:val="24"/>
        </w:rPr>
        <w:t>Objective</w:t>
      </w:r>
    </w:p>
    <w:p w14:paraId="41121409" w14:textId="052ABACD" w:rsidR="004A476D" w:rsidRDefault="004A476D" w:rsidP="00D74D7F">
      <w:pPr>
        <w:pStyle w:val="Textkrper1"/>
        <w:rPr>
          <w:sz w:val="20"/>
          <w:szCs w:val="20"/>
        </w:rPr>
      </w:pPr>
      <w:r>
        <w:rPr>
          <w:sz w:val="20"/>
          <w:szCs w:val="20"/>
        </w:rPr>
        <w:t>The objective of the ad hoc working group is to t</w:t>
      </w:r>
      <w:r w:rsidRPr="009345B1">
        <w:rPr>
          <w:sz w:val="20"/>
          <w:szCs w:val="20"/>
        </w:rPr>
        <w:t>ackle implementation deficit</w:t>
      </w:r>
      <w:r>
        <w:rPr>
          <w:sz w:val="20"/>
          <w:szCs w:val="20"/>
        </w:rPr>
        <w:t>s of No.29, LD</w:t>
      </w:r>
      <w:r w:rsidRPr="009345B1">
        <w:rPr>
          <w:sz w:val="20"/>
          <w:szCs w:val="20"/>
        </w:rPr>
        <w:t xml:space="preserve"> as far and pragmatic as possible</w:t>
      </w:r>
      <w:r>
        <w:rPr>
          <w:sz w:val="20"/>
          <w:szCs w:val="20"/>
        </w:rPr>
        <w:t xml:space="preserve"> in due time for the Wadden Sea Conference</w:t>
      </w:r>
      <w:r w:rsidR="00B620B3">
        <w:rPr>
          <w:sz w:val="20"/>
          <w:szCs w:val="20"/>
        </w:rPr>
        <w:t xml:space="preserve"> Nov 2022</w:t>
      </w:r>
      <w:r w:rsidR="003F3E1A">
        <w:rPr>
          <w:sz w:val="20"/>
          <w:szCs w:val="20"/>
        </w:rPr>
        <w:t>.</w:t>
      </w:r>
      <w:r>
        <w:rPr>
          <w:sz w:val="20"/>
          <w:szCs w:val="20"/>
        </w:rPr>
        <w:t xml:space="preserve"> </w:t>
      </w:r>
      <w:r w:rsidR="0032788A">
        <w:rPr>
          <w:sz w:val="20"/>
          <w:szCs w:val="20"/>
        </w:rPr>
        <w:t xml:space="preserve">It will build on the work done </w:t>
      </w:r>
      <w:r w:rsidR="0032788A">
        <w:rPr>
          <w:sz w:val="20"/>
          <w:szCs w:val="20"/>
        </w:rPr>
        <w:lastRenderedPageBreak/>
        <w:t xml:space="preserve">for the </w:t>
      </w:r>
      <w:r w:rsidR="006B1A4D">
        <w:rPr>
          <w:sz w:val="20"/>
          <w:szCs w:val="20"/>
        </w:rPr>
        <w:t xml:space="preserve">draft </w:t>
      </w:r>
      <w:r w:rsidR="00C42279">
        <w:rPr>
          <w:sz w:val="20"/>
          <w:szCs w:val="20"/>
        </w:rPr>
        <w:t>QSR</w:t>
      </w:r>
      <w:r w:rsidR="00B620B3">
        <w:rPr>
          <w:sz w:val="20"/>
          <w:szCs w:val="20"/>
        </w:rPr>
        <w:t xml:space="preserve"> thematic chapter energy</w:t>
      </w:r>
      <w:r w:rsidR="00C42279">
        <w:rPr>
          <w:sz w:val="20"/>
          <w:szCs w:val="20"/>
        </w:rPr>
        <w:t xml:space="preserve"> and </w:t>
      </w:r>
      <w:r w:rsidR="00C42279">
        <w:rPr>
          <w:sz w:val="20"/>
        </w:rPr>
        <w:t xml:space="preserve">will serve as a good first topic to try to make </w:t>
      </w:r>
      <w:r w:rsidR="000C37F5">
        <w:rPr>
          <w:sz w:val="20"/>
        </w:rPr>
        <w:t xml:space="preserve">parts of </w:t>
      </w:r>
      <w:r w:rsidR="00C42279">
        <w:rPr>
          <w:sz w:val="20"/>
        </w:rPr>
        <w:t xml:space="preserve">the </w:t>
      </w:r>
      <w:r w:rsidR="000C37F5">
        <w:rPr>
          <w:sz w:val="20"/>
        </w:rPr>
        <w:t xml:space="preserve">draft </w:t>
      </w:r>
      <w:r w:rsidR="00C42279">
        <w:rPr>
          <w:sz w:val="20"/>
        </w:rPr>
        <w:t xml:space="preserve">SIMP </w:t>
      </w:r>
      <w:r w:rsidR="000C37F5">
        <w:rPr>
          <w:sz w:val="20"/>
        </w:rPr>
        <w:t xml:space="preserve">chapter on energy </w:t>
      </w:r>
      <w:r w:rsidR="00C42279">
        <w:rPr>
          <w:sz w:val="20"/>
        </w:rPr>
        <w:t>operational</w:t>
      </w:r>
      <w:r w:rsidR="0032788A">
        <w:rPr>
          <w:sz w:val="20"/>
          <w:szCs w:val="20"/>
        </w:rPr>
        <w:t>.</w:t>
      </w:r>
      <w:r w:rsidR="00DD3E5D">
        <w:rPr>
          <w:sz w:val="20"/>
          <w:szCs w:val="20"/>
        </w:rPr>
        <w:t xml:space="preserve"> </w:t>
      </w:r>
    </w:p>
    <w:p w14:paraId="1AC707B0" w14:textId="77777777" w:rsidR="003D109A" w:rsidRDefault="003D109A" w:rsidP="00D74D7F">
      <w:pPr>
        <w:pStyle w:val="Textkrper1"/>
        <w:rPr>
          <w:rFonts w:ascii="Arial" w:hAnsi="Arial" w:cs="Arial"/>
          <w:b/>
          <w:sz w:val="24"/>
          <w:szCs w:val="24"/>
          <w:lang w:eastAsia="de-DE"/>
        </w:rPr>
      </w:pPr>
    </w:p>
    <w:p w14:paraId="28747619" w14:textId="48F6D9E5" w:rsidR="00803C5D" w:rsidRDefault="00803C5D" w:rsidP="00D74D7F">
      <w:pPr>
        <w:pStyle w:val="Textkrper1"/>
        <w:rPr>
          <w:rFonts w:ascii="Arial" w:hAnsi="Arial" w:cs="Arial"/>
          <w:b/>
          <w:sz w:val="24"/>
          <w:szCs w:val="24"/>
          <w:lang w:eastAsia="de-DE"/>
        </w:rPr>
      </w:pPr>
      <w:r w:rsidRPr="00803C5D">
        <w:rPr>
          <w:rFonts w:ascii="Arial" w:hAnsi="Arial" w:cs="Arial"/>
          <w:b/>
          <w:sz w:val="24"/>
          <w:szCs w:val="24"/>
          <w:lang w:eastAsia="de-DE"/>
        </w:rPr>
        <w:t>Tasks</w:t>
      </w:r>
    </w:p>
    <w:p w14:paraId="14E768C4" w14:textId="2177FF91" w:rsidR="00803C5D" w:rsidRPr="0075565A" w:rsidRDefault="00E82D60" w:rsidP="00391492">
      <w:pPr>
        <w:pStyle w:val="Textkrper1"/>
        <w:numPr>
          <w:ilvl w:val="0"/>
          <w:numId w:val="28"/>
        </w:numPr>
        <w:rPr>
          <w:rFonts w:cs="Arial"/>
          <w:lang w:eastAsia="de-DE"/>
        </w:rPr>
      </w:pPr>
      <w:r>
        <w:rPr>
          <w:rFonts w:cs="Arial"/>
          <w:lang w:eastAsia="de-DE"/>
        </w:rPr>
        <w:t>E</w:t>
      </w:r>
      <w:r w:rsidR="00BE20C2" w:rsidRPr="0075565A">
        <w:rPr>
          <w:rFonts w:cs="Arial"/>
          <w:lang w:eastAsia="de-DE"/>
        </w:rPr>
        <w:t>xchange</w:t>
      </w:r>
      <w:r w:rsidR="00BE20C2">
        <w:rPr>
          <w:rFonts w:cs="Arial"/>
          <w:lang w:eastAsia="de-DE"/>
        </w:rPr>
        <w:t xml:space="preserve"> on existing</w:t>
      </w:r>
      <w:r w:rsidR="0003527D" w:rsidRPr="0075565A">
        <w:rPr>
          <w:rFonts w:cs="Arial"/>
          <w:lang w:eastAsia="de-DE"/>
        </w:rPr>
        <w:t xml:space="preserve"> information on potential impacts</w:t>
      </w:r>
      <w:r w:rsidR="000F120E">
        <w:rPr>
          <w:rFonts w:cs="Arial"/>
          <w:lang w:eastAsia="de-DE"/>
        </w:rPr>
        <w:t xml:space="preserve"> from</w:t>
      </w:r>
      <w:r w:rsidR="0003527D" w:rsidRPr="0075565A">
        <w:rPr>
          <w:rFonts w:cs="Arial"/>
          <w:lang w:eastAsia="de-DE"/>
        </w:rPr>
        <w:t xml:space="preserve"> impact assessments and effect monitoring</w:t>
      </w:r>
      <w:r w:rsidR="00BE20C2">
        <w:rPr>
          <w:rFonts w:cs="Arial"/>
          <w:lang w:eastAsia="de-DE"/>
        </w:rPr>
        <w:t xml:space="preserve"> on high-voltage subsea cables and gas pipelines </w:t>
      </w:r>
    </w:p>
    <w:p w14:paraId="47DF6480" w14:textId="068FAA32" w:rsidR="0003527D" w:rsidRPr="0075565A" w:rsidRDefault="00E82D60" w:rsidP="00391492">
      <w:pPr>
        <w:pStyle w:val="Textkrper1"/>
        <w:numPr>
          <w:ilvl w:val="0"/>
          <w:numId w:val="28"/>
        </w:numPr>
        <w:rPr>
          <w:rFonts w:cs="Arial"/>
          <w:lang w:eastAsia="de-DE"/>
        </w:rPr>
      </w:pPr>
      <w:r>
        <w:rPr>
          <w:rFonts w:cs="Arial"/>
          <w:lang w:eastAsia="de-DE"/>
        </w:rPr>
        <w:t>E</w:t>
      </w:r>
      <w:r w:rsidR="0003527D" w:rsidRPr="0075565A">
        <w:rPr>
          <w:rFonts w:cs="Arial"/>
          <w:lang w:eastAsia="de-DE"/>
        </w:rPr>
        <w:t xml:space="preserve">xchange </w:t>
      </w:r>
      <w:r w:rsidR="00BE20C2">
        <w:rPr>
          <w:rFonts w:cs="Arial"/>
          <w:lang w:eastAsia="de-DE"/>
        </w:rPr>
        <w:t xml:space="preserve">on existing </w:t>
      </w:r>
      <w:r w:rsidR="0003527D" w:rsidRPr="0075565A">
        <w:rPr>
          <w:rFonts w:cs="Arial"/>
          <w:lang w:eastAsia="de-DE"/>
        </w:rPr>
        <w:t xml:space="preserve">information on </w:t>
      </w:r>
      <w:r w:rsidR="008E442F">
        <w:rPr>
          <w:rFonts w:cs="Arial"/>
          <w:lang w:eastAsia="de-DE"/>
        </w:rPr>
        <w:t xml:space="preserve">alternative solution and mitigation </w:t>
      </w:r>
      <w:r w:rsidR="0003527D" w:rsidRPr="0075565A">
        <w:rPr>
          <w:rFonts w:cs="Arial"/>
          <w:lang w:eastAsia="de-DE"/>
        </w:rPr>
        <w:t>concepts and best practise at different</w:t>
      </w:r>
      <w:r w:rsidR="008E442F">
        <w:rPr>
          <w:rFonts w:cs="Arial"/>
          <w:lang w:eastAsia="de-DE"/>
        </w:rPr>
        <w:t xml:space="preserve"> stages:</w:t>
      </w:r>
      <w:r w:rsidR="0003527D" w:rsidRPr="0075565A">
        <w:rPr>
          <w:rFonts w:cs="Arial"/>
          <w:lang w:eastAsia="de-DE"/>
        </w:rPr>
        <w:t xml:space="preserve"> </w:t>
      </w:r>
      <w:r w:rsidR="008E442F">
        <w:rPr>
          <w:rFonts w:cs="Arial"/>
          <w:lang w:eastAsia="de-DE"/>
        </w:rPr>
        <w:t xml:space="preserve">strategic </w:t>
      </w:r>
      <w:r w:rsidR="0075565A" w:rsidRPr="0075565A">
        <w:rPr>
          <w:rFonts w:cs="Arial"/>
          <w:lang w:eastAsia="de-DE"/>
        </w:rPr>
        <w:t xml:space="preserve">grid </w:t>
      </w:r>
      <w:r w:rsidR="0003527D" w:rsidRPr="0075565A">
        <w:rPr>
          <w:rFonts w:cs="Arial"/>
          <w:lang w:eastAsia="de-DE"/>
        </w:rPr>
        <w:t>planning,</w:t>
      </w:r>
      <w:r w:rsidR="003D109A">
        <w:rPr>
          <w:rFonts w:cs="Arial"/>
          <w:lang w:eastAsia="de-DE"/>
        </w:rPr>
        <w:t xml:space="preserve"> spatial planning, </w:t>
      </w:r>
      <w:r w:rsidR="0075565A" w:rsidRPr="0075565A">
        <w:rPr>
          <w:rFonts w:cs="Arial"/>
          <w:lang w:eastAsia="de-DE"/>
        </w:rPr>
        <w:t xml:space="preserve">project </w:t>
      </w:r>
      <w:r w:rsidR="0003527D" w:rsidRPr="0075565A">
        <w:rPr>
          <w:rFonts w:cs="Arial"/>
          <w:lang w:eastAsia="de-DE"/>
        </w:rPr>
        <w:t>permission</w:t>
      </w:r>
      <w:r w:rsidR="008E442F">
        <w:rPr>
          <w:rFonts w:cs="Arial"/>
          <w:lang w:eastAsia="de-DE"/>
        </w:rPr>
        <w:t xml:space="preserve"> and</w:t>
      </w:r>
      <w:r w:rsidR="0003527D" w:rsidRPr="0075565A">
        <w:rPr>
          <w:rFonts w:cs="Arial"/>
          <w:lang w:eastAsia="de-DE"/>
        </w:rPr>
        <w:t xml:space="preserve"> implementation</w:t>
      </w:r>
      <w:r w:rsidR="008E442F">
        <w:rPr>
          <w:rFonts w:cs="Arial"/>
          <w:lang w:eastAsia="de-DE"/>
        </w:rPr>
        <w:t xml:space="preserve"> incl. maintenance.</w:t>
      </w:r>
      <w:r w:rsidR="000F120E">
        <w:rPr>
          <w:rFonts w:cs="Arial"/>
          <w:lang w:eastAsia="de-DE"/>
        </w:rPr>
        <w:t xml:space="preserve"> </w:t>
      </w:r>
    </w:p>
    <w:p w14:paraId="2F285204" w14:textId="77777777" w:rsidR="003D109A" w:rsidRDefault="00B620B3" w:rsidP="00D82B64">
      <w:pPr>
        <w:pStyle w:val="Textkrper1"/>
        <w:numPr>
          <w:ilvl w:val="0"/>
          <w:numId w:val="28"/>
        </w:numPr>
        <w:rPr>
          <w:rFonts w:cs="Arial"/>
          <w:lang w:eastAsia="de-DE"/>
        </w:rPr>
      </w:pPr>
      <w:r w:rsidRPr="001D3D3C">
        <w:rPr>
          <w:rFonts w:cs="Arial"/>
          <w:lang w:eastAsia="de-DE"/>
        </w:rPr>
        <w:t xml:space="preserve">Advise/support harmonisation and best practice implementing </w:t>
      </w:r>
      <w:r w:rsidR="001D3D3C">
        <w:t>Article 6(3) and (4) of the Habitats Directive 92/43/EEC</w:t>
      </w:r>
      <w:r w:rsidR="001D3D3C" w:rsidRPr="001D3D3C">
        <w:rPr>
          <w:rFonts w:cs="Arial"/>
          <w:lang w:eastAsia="de-DE"/>
        </w:rPr>
        <w:t xml:space="preserve"> </w:t>
      </w:r>
    </w:p>
    <w:p w14:paraId="15D1BD56" w14:textId="782A8C66" w:rsidR="0003527D" w:rsidRPr="001D3D3C" w:rsidRDefault="0003527D" w:rsidP="00D82B64">
      <w:pPr>
        <w:pStyle w:val="Textkrper1"/>
        <w:numPr>
          <w:ilvl w:val="0"/>
          <w:numId w:val="28"/>
        </w:numPr>
        <w:rPr>
          <w:rFonts w:cs="Arial"/>
          <w:lang w:eastAsia="de-DE"/>
        </w:rPr>
      </w:pPr>
      <w:r w:rsidRPr="001D3D3C">
        <w:rPr>
          <w:rFonts w:cs="Arial"/>
          <w:lang w:eastAsia="de-DE"/>
        </w:rPr>
        <w:t>Identify</w:t>
      </w:r>
      <w:r w:rsidR="000C37F5" w:rsidRPr="001D3D3C">
        <w:rPr>
          <w:rFonts w:cs="Arial"/>
          <w:lang w:eastAsia="de-DE"/>
        </w:rPr>
        <w:t xml:space="preserve"> open</w:t>
      </w:r>
      <w:r w:rsidRPr="001D3D3C">
        <w:rPr>
          <w:rFonts w:cs="Arial"/>
          <w:lang w:eastAsia="de-DE"/>
        </w:rPr>
        <w:t xml:space="preserve"> questions</w:t>
      </w:r>
      <w:r w:rsidR="000C37F5" w:rsidRPr="001D3D3C">
        <w:rPr>
          <w:rFonts w:cs="Arial"/>
          <w:lang w:eastAsia="de-DE"/>
        </w:rPr>
        <w:t xml:space="preserve"> for </w:t>
      </w:r>
      <w:r w:rsidR="003D109A">
        <w:rPr>
          <w:rFonts w:cs="Arial"/>
          <w:lang w:eastAsia="de-DE"/>
        </w:rPr>
        <w:t>effect monitoring</w:t>
      </w:r>
      <w:r w:rsidR="003D109A" w:rsidRPr="003D109A">
        <w:rPr>
          <w:rFonts w:cs="Arial"/>
          <w:lang w:eastAsia="de-DE"/>
        </w:rPr>
        <w:t xml:space="preserve"> </w:t>
      </w:r>
      <w:r w:rsidR="003D109A">
        <w:rPr>
          <w:rFonts w:cs="Arial"/>
          <w:lang w:eastAsia="de-DE"/>
        </w:rPr>
        <w:t xml:space="preserve">and </w:t>
      </w:r>
      <w:r w:rsidR="003D109A" w:rsidRPr="001D3D3C">
        <w:rPr>
          <w:rFonts w:cs="Arial"/>
          <w:lang w:eastAsia="de-DE"/>
        </w:rPr>
        <w:t>applied research</w:t>
      </w:r>
    </w:p>
    <w:p w14:paraId="4FC9701E" w14:textId="6D4F751F" w:rsidR="0003527D" w:rsidRPr="0075565A" w:rsidRDefault="0075565A" w:rsidP="00391492">
      <w:pPr>
        <w:pStyle w:val="Textkrper1"/>
        <w:numPr>
          <w:ilvl w:val="0"/>
          <w:numId w:val="28"/>
        </w:numPr>
        <w:rPr>
          <w:rFonts w:cs="Arial"/>
          <w:lang w:eastAsia="de-DE"/>
        </w:rPr>
      </w:pPr>
      <w:r w:rsidRPr="0075565A">
        <w:rPr>
          <w:rFonts w:cs="Arial"/>
          <w:lang w:eastAsia="de-DE"/>
        </w:rPr>
        <w:t>Explore</w:t>
      </w:r>
      <w:r w:rsidR="00B620B3">
        <w:rPr>
          <w:rFonts w:cs="Arial"/>
          <w:lang w:eastAsia="de-DE"/>
        </w:rPr>
        <w:t xml:space="preserve"> </w:t>
      </w:r>
      <w:r w:rsidRPr="0075565A">
        <w:rPr>
          <w:rFonts w:cs="Arial"/>
          <w:lang w:eastAsia="de-DE"/>
        </w:rPr>
        <w:t>potential future role</w:t>
      </w:r>
      <w:r w:rsidR="000C37F5">
        <w:rPr>
          <w:rFonts w:cs="Arial"/>
          <w:lang w:eastAsia="de-DE"/>
        </w:rPr>
        <w:t>s</w:t>
      </w:r>
      <w:r w:rsidRPr="0075565A">
        <w:rPr>
          <w:rFonts w:cs="Arial"/>
          <w:lang w:eastAsia="de-DE"/>
        </w:rPr>
        <w:t xml:space="preserve"> of the TWSC in the context of North-Sea-wide grid planning and transnational routing. </w:t>
      </w:r>
      <w:r w:rsidR="0003527D" w:rsidRPr="0075565A">
        <w:rPr>
          <w:rFonts w:cs="Arial"/>
          <w:lang w:eastAsia="de-DE"/>
        </w:rPr>
        <w:t xml:space="preserve"> </w:t>
      </w:r>
    </w:p>
    <w:p w14:paraId="13AD9EB4" w14:textId="06AE0F0D" w:rsidR="00803C5D" w:rsidRDefault="00803C5D" w:rsidP="00D74D7F">
      <w:pPr>
        <w:pStyle w:val="Textkrper1"/>
        <w:rPr>
          <w:rFonts w:ascii="Arial" w:hAnsi="Arial" w:cs="Arial"/>
          <w:b/>
          <w:sz w:val="24"/>
          <w:szCs w:val="24"/>
          <w:lang w:eastAsia="de-DE"/>
        </w:rPr>
      </w:pPr>
    </w:p>
    <w:p w14:paraId="5E8406EA" w14:textId="180F788F" w:rsidR="00803C5D" w:rsidRDefault="00803C5D" w:rsidP="00D74D7F">
      <w:pPr>
        <w:pStyle w:val="Textkrper1"/>
        <w:rPr>
          <w:rFonts w:ascii="Arial" w:hAnsi="Arial" w:cs="Arial"/>
          <w:b/>
          <w:sz w:val="24"/>
          <w:szCs w:val="24"/>
          <w:lang w:eastAsia="de-DE"/>
        </w:rPr>
      </w:pPr>
      <w:r>
        <w:rPr>
          <w:rFonts w:ascii="Arial" w:hAnsi="Arial" w:cs="Arial"/>
          <w:b/>
          <w:sz w:val="24"/>
          <w:szCs w:val="24"/>
          <w:lang w:eastAsia="de-DE"/>
        </w:rPr>
        <w:t>Deliverables</w:t>
      </w:r>
      <w:r w:rsidR="00766F5A">
        <w:rPr>
          <w:rFonts w:ascii="Arial" w:hAnsi="Arial" w:cs="Arial"/>
          <w:b/>
          <w:sz w:val="24"/>
          <w:szCs w:val="24"/>
          <w:lang w:eastAsia="de-DE"/>
        </w:rPr>
        <w:t xml:space="preserve"> to TG-M</w:t>
      </w:r>
    </w:p>
    <w:p w14:paraId="0C1C96A0" w14:textId="5963982D" w:rsidR="00766F5A" w:rsidRDefault="003D109A" w:rsidP="003D109A">
      <w:pPr>
        <w:pStyle w:val="Textkrper1"/>
        <w:numPr>
          <w:ilvl w:val="0"/>
          <w:numId w:val="31"/>
        </w:numPr>
        <w:rPr>
          <w:rFonts w:cs="Arial"/>
          <w:lang w:eastAsia="de-DE"/>
        </w:rPr>
      </w:pPr>
      <w:r>
        <w:rPr>
          <w:rFonts w:cs="Arial"/>
          <w:lang w:eastAsia="de-DE"/>
        </w:rPr>
        <w:t>Overview r</w:t>
      </w:r>
      <w:r w:rsidR="00766F5A">
        <w:rPr>
          <w:rFonts w:cs="Arial"/>
          <w:lang w:eastAsia="de-DE"/>
        </w:rPr>
        <w:t>eport on impact</w:t>
      </w:r>
      <w:r w:rsidR="008E442F">
        <w:rPr>
          <w:rFonts w:cs="Arial"/>
          <w:lang w:eastAsia="de-DE"/>
        </w:rPr>
        <w:t xml:space="preserve"> assessments and effect monitoring</w:t>
      </w:r>
    </w:p>
    <w:p w14:paraId="6256D2A1" w14:textId="65681BF7" w:rsidR="00766F5A" w:rsidRDefault="00766F5A" w:rsidP="003D109A">
      <w:pPr>
        <w:pStyle w:val="Textkrper1"/>
        <w:numPr>
          <w:ilvl w:val="0"/>
          <w:numId w:val="31"/>
        </w:numPr>
        <w:rPr>
          <w:rFonts w:cs="Arial"/>
          <w:lang w:eastAsia="de-DE"/>
        </w:rPr>
      </w:pPr>
      <w:r>
        <w:rPr>
          <w:rFonts w:cs="Arial"/>
          <w:lang w:eastAsia="de-DE"/>
        </w:rPr>
        <w:t>Best practice report on mitigation concepts and measures (tool box)</w:t>
      </w:r>
      <w:r w:rsidR="00391492">
        <w:rPr>
          <w:rFonts w:cs="Arial"/>
          <w:lang w:eastAsia="de-DE"/>
        </w:rPr>
        <w:t xml:space="preserve">, incl. trilateral stakeholder workshop  </w:t>
      </w:r>
    </w:p>
    <w:p w14:paraId="7754FCCE" w14:textId="43C1ADC8" w:rsidR="003D109A" w:rsidRPr="003D109A" w:rsidRDefault="003D109A" w:rsidP="003D109A">
      <w:pPr>
        <w:pStyle w:val="Textkrper1"/>
        <w:numPr>
          <w:ilvl w:val="0"/>
          <w:numId w:val="31"/>
        </w:numPr>
        <w:rPr>
          <w:rFonts w:cs="Arial"/>
          <w:lang w:eastAsia="de-DE"/>
        </w:rPr>
      </w:pPr>
      <w:r w:rsidRPr="003D109A">
        <w:rPr>
          <w:rFonts w:cs="Arial"/>
          <w:lang w:eastAsia="de-DE"/>
        </w:rPr>
        <w:t xml:space="preserve">Recommendations to further harmonisation and best practise implementing </w:t>
      </w:r>
      <w:r>
        <w:t>Article 6(3) and (4) of the Habitats Directive 92/43/EEC</w:t>
      </w:r>
    </w:p>
    <w:p w14:paraId="5253DA26" w14:textId="1273AA19" w:rsidR="00766F5A" w:rsidRDefault="00766F5A" w:rsidP="003D109A">
      <w:pPr>
        <w:pStyle w:val="Textkrper1"/>
        <w:numPr>
          <w:ilvl w:val="0"/>
          <w:numId w:val="31"/>
        </w:numPr>
        <w:rPr>
          <w:rFonts w:cs="Arial"/>
          <w:lang w:eastAsia="de-DE"/>
        </w:rPr>
      </w:pPr>
      <w:r>
        <w:rPr>
          <w:rFonts w:cs="Arial"/>
          <w:lang w:eastAsia="de-DE"/>
        </w:rPr>
        <w:t xml:space="preserve">List of </w:t>
      </w:r>
      <w:r w:rsidR="003D109A">
        <w:rPr>
          <w:rFonts w:cs="Arial"/>
          <w:lang w:eastAsia="de-DE"/>
        </w:rPr>
        <w:t xml:space="preserve">open questions for effect monitoring and applied </w:t>
      </w:r>
      <w:r>
        <w:rPr>
          <w:rFonts w:cs="Arial"/>
          <w:lang w:eastAsia="de-DE"/>
        </w:rPr>
        <w:t>research</w:t>
      </w:r>
    </w:p>
    <w:p w14:paraId="3205F786" w14:textId="719D6A60" w:rsidR="00803C5D" w:rsidRPr="000C37F5" w:rsidRDefault="00391492" w:rsidP="003D109A">
      <w:pPr>
        <w:pStyle w:val="Textkrper1"/>
        <w:numPr>
          <w:ilvl w:val="0"/>
          <w:numId w:val="31"/>
        </w:numPr>
        <w:rPr>
          <w:rFonts w:ascii="Arial" w:hAnsi="Arial" w:cs="Arial"/>
          <w:sz w:val="24"/>
          <w:szCs w:val="24"/>
          <w:lang w:eastAsia="de-DE"/>
        </w:rPr>
      </w:pPr>
      <w:r w:rsidRPr="000C37F5">
        <w:rPr>
          <w:rFonts w:cs="Arial"/>
          <w:lang w:eastAsia="de-DE"/>
        </w:rPr>
        <w:t xml:space="preserve">Recommendations </w:t>
      </w:r>
      <w:r w:rsidR="00766F5A" w:rsidRPr="000C37F5">
        <w:rPr>
          <w:rFonts w:cs="Arial"/>
          <w:lang w:eastAsia="de-DE"/>
        </w:rPr>
        <w:t xml:space="preserve">on future </w:t>
      </w:r>
      <w:r w:rsidR="00EC5088" w:rsidRPr="000C37F5">
        <w:rPr>
          <w:rFonts w:cs="Arial"/>
          <w:lang w:eastAsia="de-DE"/>
        </w:rPr>
        <w:t xml:space="preserve">role and </w:t>
      </w:r>
      <w:r w:rsidR="00766F5A" w:rsidRPr="000C37F5">
        <w:rPr>
          <w:rFonts w:cs="Arial"/>
          <w:lang w:eastAsia="de-DE"/>
        </w:rPr>
        <w:t xml:space="preserve">approach of TWSC </w:t>
      </w:r>
      <w:r w:rsidR="000F120E" w:rsidRPr="000C37F5">
        <w:rPr>
          <w:rFonts w:cs="Arial"/>
          <w:lang w:eastAsia="de-DE"/>
        </w:rPr>
        <w:t>towards North-Sea-wide grid planning and transnational routing</w:t>
      </w:r>
      <w:r w:rsidR="00491FCE">
        <w:rPr>
          <w:rFonts w:cs="Arial"/>
          <w:lang w:eastAsia="de-DE"/>
        </w:rPr>
        <w:t>.</w:t>
      </w:r>
    </w:p>
    <w:p w14:paraId="4E477E14" w14:textId="27BC9883" w:rsidR="00803C5D" w:rsidRDefault="00803C5D" w:rsidP="00D74D7F">
      <w:pPr>
        <w:pStyle w:val="Textkrper1"/>
        <w:rPr>
          <w:rFonts w:ascii="Arial" w:hAnsi="Arial" w:cs="Arial"/>
          <w:b/>
          <w:sz w:val="24"/>
          <w:szCs w:val="24"/>
          <w:lang w:eastAsia="de-DE"/>
        </w:rPr>
      </w:pPr>
    </w:p>
    <w:p w14:paraId="0933ABDD" w14:textId="6605BD47" w:rsidR="00803C5D" w:rsidRDefault="00803C5D" w:rsidP="00D74D7F">
      <w:pPr>
        <w:pStyle w:val="Textkrper1"/>
        <w:rPr>
          <w:rFonts w:ascii="Arial" w:hAnsi="Arial" w:cs="Arial"/>
          <w:b/>
          <w:sz w:val="24"/>
          <w:szCs w:val="24"/>
          <w:lang w:eastAsia="de-DE"/>
        </w:rPr>
      </w:pPr>
      <w:r>
        <w:rPr>
          <w:rFonts w:ascii="Arial" w:hAnsi="Arial" w:cs="Arial"/>
          <w:b/>
          <w:sz w:val="24"/>
          <w:szCs w:val="24"/>
          <w:lang w:eastAsia="de-DE"/>
        </w:rPr>
        <w:t>Composition/Membership</w:t>
      </w:r>
    </w:p>
    <w:p w14:paraId="053B31E0" w14:textId="0DA66A72" w:rsidR="00391492" w:rsidRDefault="00391492" w:rsidP="00D74D7F">
      <w:pPr>
        <w:pStyle w:val="Textkrper1"/>
        <w:rPr>
          <w:rFonts w:cs="Arial"/>
          <w:lang w:eastAsia="de-DE"/>
        </w:rPr>
      </w:pPr>
      <w:r w:rsidRPr="00391492">
        <w:rPr>
          <w:rFonts w:cs="Arial"/>
          <w:lang w:eastAsia="de-DE"/>
        </w:rPr>
        <w:t>1 member per region (</w:t>
      </w:r>
      <w:r>
        <w:rPr>
          <w:rFonts w:cs="Arial"/>
          <w:lang w:eastAsia="de-DE"/>
        </w:rPr>
        <w:t>DK, SH, LS, NL), external experts and stakeholder representatives from the energy sector might be invited as guests, when appropriate.</w:t>
      </w:r>
    </w:p>
    <w:p w14:paraId="771B2EAE" w14:textId="276379A3" w:rsidR="00391492" w:rsidRPr="00391492" w:rsidRDefault="00391492" w:rsidP="00D74D7F">
      <w:pPr>
        <w:pStyle w:val="Textkrper1"/>
        <w:rPr>
          <w:rFonts w:cs="Arial"/>
          <w:lang w:eastAsia="de-DE"/>
        </w:rPr>
      </w:pPr>
      <w:r>
        <w:rPr>
          <w:rFonts w:cs="Arial"/>
          <w:lang w:eastAsia="de-DE"/>
        </w:rPr>
        <w:t>The ad hoc group is chaired by one group member, selected by the group.</w:t>
      </w:r>
    </w:p>
    <w:p w14:paraId="7881B889" w14:textId="77777777" w:rsidR="00391492" w:rsidRDefault="00391492" w:rsidP="00D74D7F">
      <w:pPr>
        <w:pStyle w:val="Textkrper1"/>
        <w:rPr>
          <w:rFonts w:ascii="Arial" w:hAnsi="Arial" w:cs="Arial"/>
          <w:b/>
          <w:sz w:val="24"/>
          <w:szCs w:val="24"/>
          <w:lang w:eastAsia="de-DE"/>
        </w:rPr>
      </w:pPr>
    </w:p>
    <w:p w14:paraId="62EA6D28" w14:textId="1C68B8AE" w:rsidR="00803C5D" w:rsidRDefault="00803C5D" w:rsidP="00D74D7F">
      <w:pPr>
        <w:pStyle w:val="Textkrper1"/>
        <w:rPr>
          <w:rFonts w:ascii="Arial" w:hAnsi="Arial" w:cs="Arial"/>
          <w:b/>
          <w:sz w:val="24"/>
          <w:szCs w:val="24"/>
          <w:lang w:eastAsia="de-DE"/>
        </w:rPr>
      </w:pPr>
      <w:r>
        <w:rPr>
          <w:rFonts w:ascii="Arial" w:hAnsi="Arial" w:cs="Arial"/>
          <w:b/>
          <w:sz w:val="24"/>
          <w:szCs w:val="24"/>
          <w:lang w:eastAsia="de-DE"/>
        </w:rPr>
        <w:t>Time schedule</w:t>
      </w:r>
    </w:p>
    <w:p w14:paraId="4B06806B" w14:textId="693E86D4" w:rsidR="00803C5D" w:rsidRPr="00803C5D" w:rsidRDefault="00803C5D" w:rsidP="00D74D7F">
      <w:pPr>
        <w:pStyle w:val="Textkrper1"/>
        <w:rPr>
          <w:rFonts w:cs="Arial"/>
          <w:lang w:eastAsia="de-DE"/>
        </w:rPr>
      </w:pPr>
      <w:r w:rsidRPr="00803C5D">
        <w:rPr>
          <w:rFonts w:cs="Arial"/>
          <w:lang w:eastAsia="de-DE"/>
        </w:rPr>
        <w:t>Jan 2022 – Dec 2022</w:t>
      </w:r>
    </w:p>
    <w:sectPr w:rsidR="00803C5D" w:rsidRPr="00803C5D" w:rsidSect="00724BF2">
      <w:headerReference w:type="default" r:id="rId10"/>
      <w:footerReference w:type="default" r:id="rId11"/>
      <w:foot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13EB" w14:textId="77777777" w:rsidR="00BD602A" w:rsidRDefault="00BD602A" w:rsidP="00B965C7">
      <w:r>
        <w:separator/>
      </w:r>
    </w:p>
  </w:endnote>
  <w:endnote w:type="continuationSeparator" w:id="0">
    <w:p w14:paraId="2D3DB06C" w14:textId="77777777" w:rsidR="00BD602A" w:rsidRDefault="00BD602A"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5C9B9B01"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597A48">
      <w:rPr>
        <w:rFonts w:ascii="Georgia" w:hAnsi="Georgia"/>
        <w:noProof/>
        <w:color w:val="808080" w:themeColor="background1" w:themeShade="80"/>
        <w:sz w:val="18"/>
        <w:szCs w:val="18"/>
      </w:rPr>
      <w:t>4</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E881" w14:textId="77777777" w:rsidR="00BD602A" w:rsidRDefault="00BD602A" w:rsidP="00B965C7">
      <w:r>
        <w:separator/>
      </w:r>
    </w:p>
  </w:footnote>
  <w:footnote w:type="continuationSeparator" w:id="0">
    <w:p w14:paraId="61ACF7BF" w14:textId="77777777" w:rsidR="00BD602A" w:rsidRDefault="00BD602A" w:rsidP="00B965C7">
      <w:r>
        <w:continuationSeparator/>
      </w:r>
    </w:p>
  </w:footnote>
  <w:footnote w:id="1">
    <w:p w14:paraId="065A60CF" w14:textId="77777777" w:rsidR="00DD3E5D" w:rsidRPr="00622DF3" w:rsidRDefault="00DD3E5D" w:rsidP="00DD3E5D">
      <w:pPr>
        <w:pStyle w:val="FootnoteText"/>
        <w:rPr>
          <w:lang w:val="nl-NL"/>
        </w:rPr>
      </w:pPr>
      <w:r>
        <w:rPr>
          <w:rStyle w:val="FootnoteReference"/>
        </w:rPr>
        <w:footnoteRef/>
      </w:r>
      <w:r>
        <w:t xml:space="preserve"> </w:t>
      </w:r>
      <w:r>
        <w:rPr>
          <w:lang w:val="nl-NL"/>
        </w:rPr>
        <w:t xml:space="preserve">Page 52 ; </w:t>
      </w:r>
      <w:hyperlink r:id="rId1" w:history="1">
        <w:r>
          <w:rPr>
            <w:rStyle w:val="Hyperlink"/>
          </w:rPr>
          <w:t>EN.pdf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45836B81"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w:t>
    </w:r>
    <w:r w:rsidR="000B1533">
      <w:rPr>
        <w:rFonts w:ascii="Georgia" w:hAnsi="Georgia"/>
        <w:color w:val="808080" w:themeColor="background1" w:themeShade="80"/>
        <w:sz w:val="18"/>
        <w:szCs w:val="18"/>
      </w:rPr>
      <w:t>2</w:t>
    </w:r>
    <w:r w:rsidRPr="00A72074">
      <w:rPr>
        <w:rFonts w:ascii="Georgia" w:hAnsi="Georgia"/>
        <w:color w:val="808080" w:themeColor="background1" w:themeShade="80"/>
        <w:sz w:val="18"/>
        <w:szCs w:val="18"/>
      </w:rPr>
      <w:t>-</w:t>
    </w:r>
    <w:r w:rsidR="000B1533">
      <w:rPr>
        <w:rFonts w:ascii="Georgia" w:hAnsi="Georgia"/>
        <w:color w:val="808080" w:themeColor="background1" w:themeShade="80"/>
        <w:sz w:val="18"/>
        <w:szCs w:val="18"/>
      </w:rPr>
      <w:t>1</w:t>
    </w:r>
    <w:r w:rsidRPr="00A72074">
      <w:rPr>
        <w:rFonts w:ascii="Georgia" w:hAnsi="Georgia"/>
        <w:color w:val="808080" w:themeColor="background1" w:themeShade="80"/>
        <w:sz w:val="18"/>
        <w:szCs w:val="18"/>
      </w:rPr>
      <w:t>/</w:t>
    </w:r>
    <w:r w:rsidR="009105F1">
      <w:rPr>
        <w:rFonts w:ascii="Georgia" w:hAnsi="Georgia"/>
        <w:color w:val="808080" w:themeColor="background1" w:themeShade="80"/>
        <w:sz w:val="18"/>
        <w:szCs w:val="18"/>
      </w:rPr>
      <w:t>5</w:t>
    </w:r>
    <w:r w:rsidR="00D74D7F">
      <w:rPr>
        <w:rFonts w:ascii="Georgia" w:hAnsi="Georgia"/>
        <w:color w:val="808080" w:themeColor="background1" w:themeShade="80"/>
        <w:sz w:val="18"/>
        <w:szCs w:val="18"/>
      </w:rPr>
      <w:t xml:space="preserve"> </w:t>
    </w:r>
    <w:r w:rsidR="009105F1">
      <w:rPr>
        <w:rFonts w:ascii="Georgia" w:hAnsi="Georgia"/>
        <w:color w:val="808080" w:themeColor="background1" w:themeShade="80"/>
        <w:sz w:val="18"/>
        <w:szCs w:val="18"/>
      </w:rPr>
      <w:t xml:space="preserve">Renewable </w:t>
    </w:r>
    <w:r w:rsidR="000B1533">
      <w:rPr>
        <w:rFonts w:ascii="Georgia" w:hAnsi="Georgia"/>
        <w:color w:val="808080" w:themeColor="background1" w:themeShade="80"/>
        <w:sz w:val="18"/>
        <w:szCs w:val="18"/>
      </w:rPr>
      <w:t>Energy</w:t>
    </w:r>
    <w:r w:rsidR="009105F1">
      <w:rPr>
        <w:rFonts w:ascii="Georgia" w:hAnsi="Georgia"/>
        <w:color w:val="808080" w:themeColor="background1" w:themeShade="80"/>
        <w:sz w:val="18"/>
        <w:szCs w:val="18"/>
      </w:rPr>
      <w:t xml:space="preserve"> (2022-01-12)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F4"/>
    <w:multiLevelType w:val="hybridMultilevel"/>
    <w:tmpl w:val="279E4068"/>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3D52208"/>
    <w:multiLevelType w:val="hybridMultilevel"/>
    <w:tmpl w:val="D15691A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9D3D84"/>
    <w:multiLevelType w:val="hybridMultilevel"/>
    <w:tmpl w:val="58AE796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1737F8"/>
    <w:multiLevelType w:val="hybridMultilevel"/>
    <w:tmpl w:val="45F2B2A6"/>
    <w:lvl w:ilvl="0" w:tplc="451A8ACC">
      <w:numFmt w:val="bullet"/>
      <w:lvlText w:val="-"/>
      <w:lvlJc w:val="left"/>
      <w:pPr>
        <w:ind w:left="720" w:hanging="360"/>
      </w:pPr>
      <w:rPr>
        <w:rFonts w:ascii="Georgia" w:eastAsiaTheme="minorHAnsi" w:hAnsi="Georg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5172A7"/>
    <w:multiLevelType w:val="hybridMultilevel"/>
    <w:tmpl w:val="8786B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B77845"/>
    <w:multiLevelType w:val="hybridMultilevel"/>
    <w:tmpl w:val="9C247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6B32565"/>
    <w:multiLevelType w:val="hybridMultilevel"/>
    <w:tmpl w:val="D7B03AF2"/>
    <w:lvl w:ilvl="0" w:tplc="23A4BF0C">
      <w:start w:val="25"/>
      <w:numFmt w:val="bullet"/>
      <w:lvlText w:val="-"/>
      <w:lvlJc w:val="left"/>
      <w:pPr>
        <w:ind w:left="720" w:hanging="360"/>
      </w:pPr>
      <w:rPr>
        <w:rFonts w:ascii="Georgia" w:eastAsia="Times New Roman" w:hAnsi="Georgi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A54EFD"/>
    <w:multiLevelType w:val="hybridMultilevel"/>
    <w:tmpl w:val="E982BE7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987046"/>
    <w:multiLevelType w:val="hybridMultilevel"/>
    <w:tmpl w:val="15360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4EC4C45"/>
    <w:multiLevelType w:val="hybridMultilevel"/>
    <w:tmpl w:val="53101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890101B"/>
    <w:multiLevelType w:val="hybridMultilevel"/>
    <w:tmpl w:val="F9F84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43363D0"/>
    <w:multiLevelType w:val="hybridMultilevel"/>
    <w:tmpl w:val="CB284260"/>
    <w:lvl w:ilvl="0" w:tplc="23A4BF0C">
      <w:start w:val="25"/>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6"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7731AC"/>
    <w:multiLevelType w:val="hybridMultilevel"/>
    <w:tmpl w:val="7AFE08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4D05ECF"/>
    <w:multiLevelType w:val="hybridMultilevel"/>
    <w:tmpl w:val="FEBC17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6D1040F6"/>
    <w:multiLevelType w:val="hybridMultilevel"/>
    <w:tmpl w:val="B4140B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05D74A3"/>
    <w:multiLevelType w:val="hybridMultilevel"/>
    <w:tmpl w:val="56149956"/>
    <w:lvl w:ilvl="0" w:tplc="37087FB8">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7" w15:restartNumberingAfterBreak="0">
    <w:nsid w:val="78331805"/>
    <w:multiLevelType w:val="hybridMultilevel"/>
    <w:tmpl w:val="5BCC25FE"/>
    <w:lvl w:ilvl="0" w:tplc="451A8ACC">
      <w:numFmt w:val="bullet"/>
      <w:lvlText w:val="-"/>
      <w:lvlJc w:val="left"/>
      <w:pPr>
        <w:ind w:left="1080" w:hanging="360"/>
      </w:pPr>
      <w:rPr>
        <w:rFonts w:ascii="Georgia" w:eastAsiaTheme="minorHAnsi" w:hAnsi="Georgia"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7E64072F"/>
    <w:multiLevelType w:val="hybridMultilevel"/>
    <w:tmpl w:val="785CC8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23"/>
  </w:num>
  <w:num w:numId="6">
    <w:abstractNumId w:val="25"/>
  </w:num>
  <w:num w:numId="7">
    <w:abstractNumId w:val="16"/>
  </w:num>
  <w:num w:numId="8">
    <w:abstractNumId w:val="19"/>
  </w:num>
  <w:num w:numId="9">
    <w:abstractNumId w:val="17"/>
  </w:num>
  <w:num w:numId="10">
    <w:abstractNumId w:val="9"/>
  </w:num>
  <w:num w:numId="11">
    <w:abstractNumId w:val="11"/>
  </w:num>
  <w:num w:numId="12">
    <w:abstractNumId w:val="6"/>
  </w:num>
  <w:num w:numId="13">
    <w:abstractNumId w:val="24"/>
  </w:num>
  <w:num w:numId="14">
    <w:abstractNumId w:val="13"/>
  </w:num>
  <w:num w:numId="15">
    <w:abstractNumId w:val="7"/>
  </w:num>
  <w:num w:numId="16">
    <w:abstractNumId w:val="14"/>
  </w:num>
  <w:num w:numId="17">
    <w:abstractNumId w:val="10"/>
  </w:num>
  <w:num w:numId="18">
    <w:abstractNumId w:val="1"/>
  </w:num>
  <w:num w:numId="19">
    <w:abstractNumId w:val="28"/>
  </w:num>
  <w:num w:numId="20">
    <w:abstractNumId w:val="4"/>
  </w:num>
  <w:num w:numId="2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18"/>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7"/>
    <w:rsid w:val="000013D8"/>
    <w:rsid w:val="00004382"/>
    <w:rsid w:val="00005110"/>
    <w:rsid w:val="000058B5"/>
    <w:rsid w:val="00010D2D"/>
    <w:rsid w:val="000208AE"/>
    <w:rsid w:val="0003527D"/>
    <w:rsid w:val="000478D3"/>
    <w:rsid w:val="00053FFE"/>
    <w:rsid w:val="00063E3C"/>
    <w:rsid w:val="00066FF5"/>
    <w:rsid w:val="00073712"/>
    <w:rsid w:val="000773D4"/>
    <w:rsid w:val="00092AFE"/>
    <w:rsid w:val="00093165"/>
    <w:rsid w:val="000A1308"/>
    <w:rsid w:val="000A1E8F"/>
    <w:rsid w:val="000A6D0F"/>
    <w:rsid w:val="000B1533"/>
    <w:rsid w:val="000B6138"/>
    <w:rsid w:val="000C37F5"/>
    <w:rsid w:val="000D6000"/>
    <w:rsid w:val="000D7F4C"/>
    <w:rsid w:val="000F120E"/>
    <w:rsid w:val="0012328A"/>
    <w:rsid w:val="00124A1D"/>
    <w:rsid w:val="00133CDB"/>
    <w:rsid w:val="00147DE8"/>
    <w:rsid w:val="00156DCF"/>
    <w:rsid w:val="0016174D"/>
    <w:rsid w:val="00167032"/>
    <w:rsid w:val="00183500"/>
    <w:rsid w:val="001A5AB5"/>
    <w:rsid w:val="001B206C"/>
    <w:rsid w:val="001B6A8B"/>
    <w:rsid w:val="001C7858"/>
    <w:rsid w:val="001D044E"/>
    <w:rsid w:val="001D2EEA"/>
    <w:rsid w:val="001D3D3C"/>
    <w:rsid w:val="001F0977"/>
    <w:rsid w:val="001F3F04"/>
    <w:rsid w:val="001F4228"/>
    <w:rsid w:val="001F4FB2"/>
    <w:rsid w:val="001F65D6"/>
    <w:rsid w:val="00202C41"/>
    <w:rsid w:val="00204701"/>
    <w:rsid w:val="00215254"/>
    <w:rsid w:val="00216D48"/>
    <w:rsid w:val="00225717"/>
    <w:rsid w:val="00240AFF"/>
    <w:rsid w:val="0024597E"/>
    <w:rsid w:val="00245FAD"/>
    <w:rsid w:val="002570E2"/>
    <w:rsid w:val="0026254D"/>
    <w:rsid w:val="002650E0"/>
    <w:rsid w:val="002814A3"/>
    <w:rsid w:val="002841BE"/>
    <w:rsid w:val="00284DEF"/>
    <w:rsid w:val="00285945"/>
    <w:rsid w:val="00294292"/>
    <w:rsid w:val="002A2851"/>
    <w:rsid w:val="002B5AB3"/>
    <w:rsid w:val="002C1F82"/>
    <w:rsid w:val="002C71BE"/>
    <w:rsid w:val="002D3F3F"/>
    <w:rsid w:val="002D5AE4"/>
    <w:rsid w:val="002F0F57"/>
    <w:rsid w:val="002F25CC"/>
    <w:rsid w:val="0030048A"/>
    <w:rsid w:val="003022A6"/>
    <w:rsid w:val="0032302F"/>
    <w:rsid w:val="00324417"/>
    <w:rsid w:val="0032788A"/>
    <w:rsid w:val="00331153"/>
    <w:rsid w:val="003505C1"/>
    <w:rsid w:val="0037018F"/>
    <w:rsid w:val="00372B13"/>
    <w:rsid w:val="00391492"/>
    <w:rsid w:val="003B3B6C"/>
    <w:rsid w:val="003B58E3"/>
    <w:rsid w:val="003D109A"/>
    <w:rsid w:val="003E2F99"/>
    <w:rsid w:val="003E70E8"/>
    <w:rsid w:val="003F3E1A"/>
    <w:rsid w:val="003F4A4D"/>
    <w:rsid w:val="00410148"/>
    <w:rsid w:val="00411E3A"/>
    <w:rsid w:val="004205EB"/>
    <w:rsid w:val="0043738A"/>
    <w:rsid w:val="00454B52"/>
    <w:rsid w:val="00462034"/>
    <w:rsid w:val="0048049E"/>
    <w:rsid w:val="0048373D"/>
    <w:rsid w:val="00486C04"/>
    <w:rsid w:val="0048782E"/>
    <w:rsid w:val="00491FCE"/>
    <w:rsid w:val="004A476D"/>
    <w:rsid w:val="004A6BFC"/>
    <w:rsid w:val="004A7844"/>
    <w:rsid w:val="004C489A"/>
    <w:rsid w:val="004C79AC"/>
    <w:rsid w:val="004D626F"/>
    <w:rsid w:val="004E5ACA"/>
    <w:rsid w:val="004F686F"/>
    <w:rsid w:val="0050563B"/>
    <w:rsid w:val="005100B5"/>
    <w:rsid w:val="005142D1"/>
    <w:rsid w:val="0051588B"/>
    <w:rsid w:val="0051787B"/>
    <w:rsid w:val="00523E35"/>
    <w:rsid w:val="00527DA2"/>
    <w:rsid w:val="005310C2"/>
    <w:rsid w:val="00555D70"/>
    <w:rsid w:val="00565654"/>
    <w:rsid w:val="00567BCF"/>
    <w:rsid w:val="00577229"/>
    <w:rsid w:val="00580A5A"/>
    <w:rsid w:val="00592E28"/>
    <w:rsid w:val="00596B9C"/>
    <w:rsid w:val="00597A48"/>
    <w:rsid w:val="005A5362"/>
    <w:rsid w:val="005A6862"/>
    <w:rsid w:val="005B6A23"/>
    <w:rsid w:val="005C0FC9"/>
    <w:rsid w:val="005C1D9F"/>
    <w:rsid w:val="005D08A7"/>
    <w:rsid w:val="005D7FAF"/>
    <w:rsid w:val="005F0948"/>
    <w:rsid w:val="005F2C9C"/>
    <w:rsid w:val="00607CFF"/>
    <w:rsid w:val="006205E1"/>
    <w:rsid w:val="006256B5"/>
    <w:rsid w:val="006318CA"/>
    <w:rsid w:val="00634E05"/>
    <w:rsid w:val="00647497"/>
    <w:rsid w:val="00670965"/>
    <w:rsid w:val="006821D7"/>
    <w:rsid w:val="006923CE"/>
    <w:rsid w:val="00696CA7"/>
    <w:rsid w:val="006A7401"/>
    <w:rsid w:val="006B1A4D"/>
    <w:rsid w:val="006B41BB"/>
    <w:rsid w:val="006B5CC2"/>
    <w:rsid w:val="006C39B2"/>
    <w:rsid w:val="006D0E93"/>
    <w:rsid w:val="006E10B1"/>
    <w:rsid w:val="006E336C"/>
    <w:rsid w:val="006E758D"/>
    <w:rsid w:val="00704073"/>
    <w:rsid w:val="00721513"/>
    <w:rsid w:val="00724551"/>
    <w:rsid w:val="00724BF2"/>
    <w:rsid w:val="0075565A"/>
    <w:rsid w:val="00766F5A"/>
    <w:rsid w:val="007810A3"/>
    <w:rsid w:val="00785365"/>
    <w:rsid w:val="007861D9"/>
    <w:rsid w:val="007917A1"/>
    <w:rsid w:val="00795532"/>
    <w:rsid w:val="007A258C"/>
    <w:rsid w:val="007A2D2A"/>
    <w:rsid w:val="007A6FA2"/>
    <w:rsid w:val="007E1B6D"/>
    <w:rsid w:val="007E7594"/>
    <w:rsid w:val="007F0012"/>
    <w:rsid w:val="00800C1F"/>
    <w:rsid w:val="00803C5D"/>
    <w:rsid w:val="0080421D"/>
    <w:rsid w:val="00805CFC"/>
    <w:rsid w:val="00824FBE"/>
    <w:rsid w:val="00842A2F"/>
    <w:rsid w:val="00844401"/>
    <w:rsid w:val="008561DC"/>
    <w:rsid w:val="0086425F"/>
    <w:rsid w:val="008645ED"/>
    <w:rsid w:val="008701E7"/>
    <w:rsid w:val="008963BF"/>
    <w:rsid w:val="008A0742"/>
    <w:rsid w:val="008A0A5A"/>
    <w:rsid w:val="008A1999"/>
    <w:rsid w:val="008A440F"/>
    <w:rsid w:val="008A51FC"/>
    <w:rsid w:val="008B386C"/>
    <w:rsid w:val="008C17F6"/>
    <w:rsid w:val="008C5F39"/>
    <w:rsid w:val="008C66A3"/>
    <w:rsid w:val="008E2A88"/>
    <w:rsid w:val="008E442F"/>
    <w:rsid w:val="009050E2"/>
    <w:rsid w:val="009105F1"/>
    <w:rsid w:val="00910EBE"/>
    <w:rsid w:val="00911E51"/>
    <w:rsid w:val="009148DD"/>
    <w:rsid w:val="00923B78"/>
    <w:rsid w:val="009270FB"/>
    <w:rsid w:val="009345B1"/>
    <w:rsid w:val="00960B87"/>
    <w:rsid w:val="00980B05"/>
    <w:rsid w:val="00987517"/>
    <w:rsid w:val="00991952"/>
    <w:rsid w:val="00991DE6"/>
    <w:rsid w:val="009A0290"/>
    <w:rsid w:val="009B2227"/>
    <w:rsid w:val="009C46AF"/>
    <w:rsid w:val="009C68F7"/>
    <w:rsid w:val="009D1649"/>
    <w:rsid w:val="009D3E8B"/>
    <w:rsid w:val="009E1590"/>
    <w:rsid w:val="009E301E"/>
    <w:rsid w:val="009E3DA6"/>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506D"/>
    <w:rsid w:val="00AA0D7D"/>
    <w:rsid w:val="00AB1A53"/>
    <w:rsid w:val="00AB222A"/>
    <w:rsid w:val="00AC62ED"/>
    <w:rsid w:val="00AE5447"/>
    <w:rsid w:val="00AE5586"/>
    <w:rsid w:val="00AF009A"/>
    <w:rsid w:val="00AF752E"/>
    <w:rsid w:val="00B03918"/>
    <w:rsid w:val="00B174BC"/>
    <w:rsid w:val="00B266A4"/>
    <w:rsid w:val="00B3192A"/>
    <w:rsid w:val="00B34523"/>
    <w:rsid w:val="00B5208C"/>
    <w:rsid w:val="00B620B3"/>
    <w:rsid w:val="00B64F10"/>
    <w:rsid w:val="00B7381A"/>
    <w:rsid w:val="00B73FDE"/>
    <w:rsid w:val="00B756DE"/>
    <w:rsid w:val="00B77B6A"/>
    <w:rsid w:val="00B91C82"/>
    <w:rsid w:val="00B965C7"/>
    <w:rsid w:val="00BA2A8F"/>
    <w:rsid w:val="00BB1A1A"/>
    <w:rsid w:val="00BB66E1"/>
    <w:rsid w:val="00BC1A04"/>
    <w:rsid w:val="00BC2A16"/>
    <w:rsid w:val="00BC47CC"/>
    <w:rsid w:val="00BC67CD"/>
    <w:rsid w:val="00BD602A"/>
    <w:rsid w:val="00BE20C2"/>
    <w:rsid w:val="00BF4AD0"/>
    <w:rsid w:val="00BF6579"/>
    <w:rsid w:val="00C02F3A"/>
    <w:rsid w:val="00C04E0C"/>
    <w:rsid w:val="00C10F97"/>
    <w:rsid w:val="00C1625A"/>
    <w:rsid w:val="00C22BCF"/>
    <w:rsid w:val="00C42279"/>
    <w:rsid w:val="00C639BC"/>
    <w:rsid w:val="00C71071"/>
    <w:rsid w:val="00C75C4E"/>
    <w:rsid w:val="00C760E5"/>
    <w:rsid w:val="00C7703C"/>
    <w:rsid w:val="00C77DEA"/>
    <w:rsid w:val="00C81DD5"/>
    <w:rsid w:val="00C859E4"/>
    <w:rsid w:val="00C85B9D"/>
    <w:rsid w:val="00C97F2D"/>
    <w:rsid w:val="00CA4088"/>
    <w:rsid w:val="00CA55C5"/>
    <w:rsid w:val="00CB2B23"/>
    <w:rsid w:val="00CC43EF"/>
    <w:rsid w:val="00CD0E61"/>
    <w:rsid w:val="00CF503C"/>
    <w:rsid w:val="00D15F5E"/>
    <w:rsid w:val="00D1728D"/>
    <w:rsid w:val="00D2006F"/>
    <w:rsid w:val="00D338DA"/>
    <w:rsid w:val="00D46FA3"/>
    <w:rsid w:val="00D5544F"/>
    <w:rsid w:val="00D70250"/>
    <w:rsid w:val="00D74D7F"/>
    <w:rsid w:val="00D8720B"/>
    <w:rsid w:val="00D9601C"/>
    <w:rsid w:val="00DA1753"/>
    <w:rsid w:val="00DB414D"/>
    <w:rsid w:val="00DB7395"/>
    <w:rsid w:val="00DC044B"/>
    <w:rsid w:val="00DC630A"/>
    <w:rsid w:val="00DC6710"/>
    <w:rsid w:val="00DC674A"/>
    <w:rsid w:val="00DC6CAE"/>
    <w:rsid w:val="00DD0D4B"/>
    <w:rsid w:val="00DD3E5D"/>
    <w:rsid w:val="00DD75D4"/>
    <w:rsid w:val="00DE308A"/>
    <w:rsid w:val="00DE3789"/>
    <w:rsid w:val="00DE3D4D"/>
    <w:rsid w:val="00E12399"/>
    <w:rsid w:val="00E1799E"/>
    <w:rsid w:val="00E24F67"/>
    <w:rsid w:val="00E27E32"/>
    <w:rsid w:val="00E337CB"/>
    <w:rsid w:val="00E33800"/>
    <w:rsid w:val="00E43BE1"/>
    <w:rsid w:val="00E441A1"/>
    <w:rsid w:val="00E47918"/>
    <w:rsid w:val="00E53D50"/>
    <w:rsid w:val="00E612A4"/>
    <w:rsid w:val="00E82D60"/>
    <w:rsid w:val="00E915A1"/>
    <w:rsid w:val="00EB49E9"/>
    <w:rsid w:val="00EC5088"/>
    <w:rsid w:val="00ED428A"/>
    <w:rsid w:val="00EF45F9"/>
    <w:rsid w:val="00F025DD"/>
    <w:rsid w:val="00F06294"/>
    <w:rsid w:val="00F17C71"/>
    <w:rsid w:val="00F379AD"/>
    <w:rsid w:val="00F411B2"/>
    <w:rsid w:val="00F501BA"/>
    <w:rsid w:val="00F50816"/>
    <w:rsid w:val="00F7100A"/>
    <w:rsid w:val="00F937FF"/>
    <w:rsid w:val="00FA1321"/>
    <w:rsid w:val="00FC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aliases w:val="Heading 2_sj,List Paragraph1,Listenabsatz1"/>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unhideWhenUsed/>
    <w:rsid w:val="006E10B1"/>
    <w:rPr>
      <w:sz w:val="20"/>
      <w:szCs w:val="20"/>
    </w:rPr>
  </w:style>
  <w:style w:type="character" w:customStyle="1" w:styleId="CommentTextChar">
    <w:name w:val="Comment Text Char"/>
    <w:basedOn w:val="DefaultParagraphFont"/>
    <w:link w:val="CommentText"/>
    <w:uiPriority w:val="99"/>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A1E8F"/>
    <w:rPr>
      <w:color w:val="800080" w:themeColor="followedHyperlink"/>
      <w:u w:val="single"/>
    </w:rPr>
  </w:style>
  <w:style w:type="character" w:customStyle="1" w:styleId="ListParagraphChar">
    <w:name w:val="List Paragraph Char"/>
    <w:aliases w:val="Heading 2_sj Char,List Paragraph1 Char,Listenabsatz1 Char"/>
    <w:basedOn w:val="DefaultParagraphFont"/>
    <w:link w:val="ListParagraph"/>
    <w:uiPriority w:val="34"/>
    <w:locked/>
    <w:rsid w:val="00D74D7F"/>
    <w:rPr>
      <w:rFonts w:ascii="Times New Roman" w:eastAsia="Times New Roman" w:hAnsi="Times New Roman" w:cs="Times New Roman"/>
      <w:sz w:val="24"/>
      <w:szCs w:val="24"/>
      <w:lang w:val="en-US"/>
    </w:rPr>
  </w:style>
  <w:style w:type="paragraph" w:customStyle="1" w:styleId="7tabletext">
    <w:name w:val="7 table text"/>
    <w:qFormat/>
    <w:rsid w:val="00D74D7F"/>
    <w:pPr>
      <w:spacing w:after="0" w:line="240" w:lineRule="auto"/>
    </w:pPr>
    <w:rPr>
      <w:rFonts w:ascii="Arial" w:eastAsiaTheme="minorEastAsia" w:hAnsi="Arial" w:cs="Arial"/>
      <w:color w:val="000000" w:themeColor="text1"/>
      <w:sz w:val="20"/>
      <w:szCs w:val="16"/>
      <w:lang w:val="en-US"/>
    </w:rPr>
  </w:style>
  <w:style w:type="character" w:customStyle="1" w:styleId="bodytextChar">
    <w:name w:val="body text Char"/>
    <w:basedOn w:val="DefaultParagraphFont"/>
    <w:link w:val="Textkrper1"/>
    <w:locked/>
    <w:rsid w:val="00D74D7F"/>
    <w:rPr>
      <w:rFonts w:ascii="Georgia" w:hAnsi="Georgia"/>
    </w:rPr>
  </w:style>
  <w:style w:type="paragraph" w:customStyle="1" w:styleId="Textkrper1">
    <w:name w:val="Textkörper1"/>
    <w:basedOn w:val="Normal"/>
    <w:link w:val="bodytextChar"/>
    <w:qFormat/>
    <w:rsid w:val="00D74D7F"/>
    <w:pPr>
      <w:spacing w:after="200" w:line="276" w:lineRule="auto"/>
    </w:pPr>
    <w:rPr>
      <w:rFonts w:ascii="Georgia" w:eastAsiaTheme="minorHAnsi" w:hAnsi="Georgia"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37731500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365868">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421021670">
      <w:bodyDiv w:val="1"/>
      <w:marLeft w:val="0"/>
      <w:marRight w:val="0"/>
      <w:marTop w:val="0"/>
      <w:marBottom w:val="0"/>
      <w:divBdr>
        <w:top w:val="none" w:sz="0" w:space="0" w:color="auto"/>
        <w:left w:val="none" w:sz="0" w:space="0" w:color="auto"/>
        <w:bottom w:val="none" w:sz="0" w:space="0" w:color="auto"/>
        <w:right w:val="none" w:sz="0" w:space="0" w:color="auto"/>
      </w:divBdr>
    </w:div>
    <w:div w:id="144823768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rthsearegion.eu/northsee/e-energ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vironment/nature/natura2000/management/pdf/methodological-guidance_2021-10/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74B3-153A-4987-8991-4ED40B60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6897</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cp:lastPrinted>2022-01-10T12:40:00Z</cp:lastPrinted>
  <dcterms:created xsi:type="dcterms:W3CDTF">2022-01-12T11:40:00Z</dcterms:created>
  <dcterms:modified xsi:type="dcterms:W3CDTF">2022-01-13T08:16:00Z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